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57B0" w:rsidRDefault="00801827">
      <w:pPr>
        <w:pStyle w:val="normal0"/>
        <w:jc w:val="center"/>
      </w:pPr>
      <w:r>
        <w:rPr>
          <w:b/>
          <w:sz w:val="28"/>
        </w:rPr>
        <w:t>Grade 6 – Geometry – Location &amp; Movement</w:t>
      </w:r>
    </w:p>
    <w:p w:rsidR="00DB57B0" w:rsidRDefault="00DB57B0">
      <w:pPr>
        <w:pStyle w:val="normal0"/>
      </w:pPr>
    </w:p>
    <w:tbl>
      <w:tblPr>
        <w:tblStyle w:val="a"/>
        <w:tblW w:w="10179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50"/>
        <w:gridCol w:w="1425"/>
        <w:gridCol w:w="1455"/>
        <w:gridCol w:w="1440"/>
        <w:gridCol w:w="1509"/>
      </w:tblGrid>
      <w:tr w:rsidR="00DB57B0">
        <w:tc>
          <w:tcPr>
            <w:tcW w:w="4350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4</w:t>
            </w:r>
          </w:p>
        </w:tc>
      </w:tr>
      <w:tr w:rsidR="00DB57B0">
        <w:tc>
          <w:tcPr>
            <w:tcW w:w="4350" w:type="dxa"/>
            <w:shd w:val="clear" w:color="auto" w:fill="E6E6E6"/>
          </w:tcPr>
          <w:p w:rsidR="00DB57B0" w:rsidRDefault="00801827">
            <w:pPr>
              <w:pStyle w:val="normal0"/>
              <w:contextualSpacing w:val="0"/>
            </w:pPr>
            <w:r>
              <w:rPr>
                <w:b/>
              </w:rPr>
              <w:t>Knowledge and Understanding</w:t>
            </w: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</w:pPr>
          </w:p>
        </w:tc>
        <w:tc>
          <w:tcPr>
            <w:tcW w:w="145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</w:pPr>
          </w:p>
        </w:tc>
        <w:tc>
          <w:tcPr>
            <w:tcW w:w="1440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</w:pPr>
          </w:p>
        </w:tc>
        <w:tc>
          <w:tcPr>
            <w:tcW w:w="1509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</w:pPr>
          </w:p>
        </w:tc>
      </w:tr>
      <w:tr w:rsidR="00DB57B0">
        <w:tc>
          <w:tcPr>
            <w:tcW w:w="4350" w:type="dxa"/>
          </w:tcPr>
          <w:p w:rsidR="00DB57B0" w:rsidRDefault="00801827">
            <w:pPr>
              <w:pStyle w:val="normal0"/>
              <w:contextualSpacing w:val="0"/>
            </w:pPr>
            <w:r>
              <w:t xml:space="preserve">- demonstrates an understanding of a </w:t>
            </w:r>
            <w:r>
              <w:t>coordinate</w:t>
            </w:r>
            <w:r>
              <w:t xml:space="preserve"> grid</w:t>
            </w:r>
          </w:p>
        </w:tc>
        <w:tc>
          <w:tcPr>
            <w:tcW w:w="1425" w:type="dxa"/>
            <w:vMerge w:val="restart"/>
          </w:tcPr>
          <w:p w:rsidR="00DB57B0" w:rsidRDefault="00DB57B0">
            <w:pPr>
              <w:pStyle w:val="normal0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440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509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Thorough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</w:tr>
      <w:tr w:rsidR="00DB57B0">
        <w:tc>
          <w:tcPr>
            <w:tcW w:w="4350" w:type="dxa"/>
          </w:tcPr>
          <w:p w:rsidR="00DB57B0" w:rsidRDefault="00801827">
            <w:pPr>
              <w:pStyle w:val="normal0"/>
              <w:contextualSpacing w:val="0"/>
            </w:pPr>
            <w:r>
              <w:t>- demonstrates an understanding of 90</w:t>
            </w:r>
            <m:oMath>
              <m:r>
                <w:rPr>
                  <w:rFonts w:ascii="Cambria" w:eastAsia="Cambria" w:hAnsi="Cambria" w:cs="Cambria"/>
                </w:rPr>
                <m:t>°</m:t>
              </m:r>
            </m:oMath>
            <w:r>
              <w:t xml:space="preserve"> and 180</w:t>
            </w:r>
            <m:oMath>
              <m:r>
                <w:rPr>
                  <w:rFonts w:ascii="Cambria" w:eastAsia="Cambria" w:hAnsi="Cambria" w:cs="Cambria"/>
                </w:rPr>
                <m:t>°</m:t>
              </m:r>
            </m:oMath>
            <w:r>
              <w:t xml:space="preserve"> rotations</w:t>
            </w: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</w:tcPr>
          <w:p w:rsidR="00DB57B0" w:rsidRDefault="00801827">
            <w:pPr>
              <w:pStyle w:val="normal0"/>
              <w:contextualSpacing w:val="0"/>
            </w:pPr>
            <w:r>
              <w:t xml:space="preserve">- reflects, translates and/or rotates shapes </w:t>
            </w:r>
            <w:r>
              <w:t>in relation</w:t>
            </w:r>
            <w:r>
              <w:t xml:space="preserve"> to a given </w:t>
            </w:r>
            <w:r>
              <w:t>point</w:t>
            </w: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E6E6E6"/>
          </w:tcPr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8"/>
              </w:rPr>
              <w:t>Thinking</w:t>
            </w: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</w:tcPr>
          <w:p w:rsidR="00DB57B0" w:rsidRDefault="00801827">
            <w:pPr>
              <w:pStyle w:val="normal0"/>
              <w:contextualSpacing w:val="0"/>
            </w:pPr>
            <w:r>
              <w:t>- selects a variety of tools to identify and/or perform rotations (e.g</w:t>
            </w:r>
            <w:r>
              <w:t>. protractors, coordinate grids, miras)</w:t>
            </w:r>
          </w:p>
        </w:tc>
        <w:tc>
          <w:tcPr>
            <w:tcW w:w="1425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</w:tcPr>
          <w:p w:rsidR="00DB57B0" w:rsidRDefault="00801827">
            <w:pPr>
              <w:pStyle w:val="normal0"/>
              <w:contextualSpacing w:val="0"/>
            </w:pPr>
            <w:r>
              <w:t xml:space="preserve">- analyses designs made by reflections, translations and/or rotations </w:t>
            </w: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tcBorders>
              <w:bottom w:val="single" w:sz="4" w:space="0" w:color="000000"/>
            </w:tcBorders>
          </w:tcPr>
          <w:p w:rsidR="00DB57B0" w:rsidRDefault="00801827">
            <w:pPr>
              <w:pStyle w:val="normal0"/>
              <w:contextualSpacing w:val="0"/>
            </w:pPr>
            <w:r>
              <w:t>– uses problem solving skills</w:t>
            </w:r>
          </w:p>
          <w:p w:rsidR="00DB57B0" w:rsidRDefault="00DB57B0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tcBorders>
              <w:bottom w:val="single" w:sz="4" w:space="0" w:color="000000"/>
            </w:tcBorders>
            <w:shd w:val="clear" w:color="auto" w:fill="E6E6E6"/>
          </w:tcPr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8"/>
              </w:rPr>
              <w:t>Communication</w:t>
            </w: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bookmarkStart w:id="0" w:name="h.gjdgxs" w:colFirst="0" w:colLast="0"/>
            <w:bookmarkEnd w:id="0"/>
            <w:r>
              <w:t xml:space="preserve">- explains how a co-ordinate system presents location </w:t>
            </w:r>
          </w:p>
        </w:tc>
        <w:tc>
          <w:tcPr>
            <w:tcW w:w="1425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r>
              <w:t xml:space="preserve">- communicates using a variety </w:t>
            </w:r>
          </w:p>
          <w:p w:rsidR="00DB57B0" w:rsidRDefault="00801827">
            <w:pPr>
              <w:pStyle w:val="normal0"/>
              <w:contextualSpacing w:val="0"/>
            </w:pPr>
            <w:r>
              <w:t xml:space="preserve">of modes (short answers, </w:t>
            </w:r>
          </w:p>
          <w:p w:rsidR="00DB57B0" w:rsidRDefault="00801827">
            <w:pPr>
              <w:pStyle w:val="normal0"/>
              <w:contextualSpacing w:val="0"/>
            </w:pPr>
            <w: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tcBorders>
              <w:bottom w:val="single" w:sz="4" w:space="0" w:color="000000"/>
            </w:tcBorders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r>
              <w:t xml:space="preserve">- uses appropriate vocabulary </w:t>
            </w:r>
          </w:p>
          <w:p w:rsidR="00DB57B0" w:rsidRDefault="00801827">
            <w:pPr>
              <w:pStyle w:val="normal0"/>
              <w:contextualSpacing w:val="0"/>
            </w:pPr>
            <w:r>
              <w:t xml:space="preserve">and </w:t>
            </w:r>
            <w:r>
              <w:t>terminology (e.g. rotation, translation, reflection</w:t>
            </w:r>
            <w:r>
              <w:t>, axis, clockwise, counterclockwise)</w:t>
            </w: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E6E6E6"/>
          </w:tcPr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8"/>
              </w:rPr>
              <w:t>Application</w:t>
            </w:r>
          </w:p>
          <w:p w:rsidR="00DB57B0" w:rsidRDefault="00DB57B0">
            <w:pPr>
              <w:pStyle w:val="normal0"/>
              <w:contextualSpacing w:val="0"/>
            </w:pPr>
          </w:p>
          <w:p w:rsidR="00DB57B0" w:rsidRDefault="00801827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r>
              <w:t xml:space="preserve">- applies knowledge and skills about co-ordinate system to in-class assignments </w:t>
            </w:r>
          </w:p>
        </w:tc>
        <w:tc>
          <w:tcPr>
            <w:tcW w:w="1425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</w:t>
            </w:r>
          </w:p>
          <w:p w:rsidR="00DB57B0" w:rsidRDefault="00801827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Of Effectiveness</w:t>
            </w: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bookmarkStart w:id="1" w:name="h.30j0zll" w:colFirst="0" w:colLast="0"/>
            <w:bookmarkEnd w:id="1"/>
            <w:r>
              <w:t>- transfers knowledge and skills about location and movement to in-class assignments</w:t>
            </w: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  <w:tr w:rsidR="00DB57B0">
        <w:tc>
          <w:tcPr>
            <w:tcW w:w="4350" w:type="dxa"/>
            <w:shd w:val="clear" w:color="auto" w:fill="FFFFFF"/>
          </w:tcPr>
          <w:p w:rsidR="00DB57B0" w:rsidRDefault="00801827">
            <w:pPr>
              <w:pStyle w:val="normal0"/>
              <w:contextualSpacing w:val="0"/>
            </w:pPr>
            <w:r>
              <w:t>- makes connections b</w:t>
            </w:r>
            <w:r>
              <w:t>etween</w:t>
            </w:r>
            <w:r>
              <w:t xml:space="preserve"> a variety of real life situations where motion geometry occurs</w:t>
            </w: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widowControl w:val="0"/>
              <w:spacing w:line="276" w:lineRule="auto"/>
              <w:contextualSpacing w:val="0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  <w:p w:rsidR="00DB57B0" w:rsidRDefault="00DB57B0">
            <w:pPr>
              <w:pStyle w:val="normal0"/>
              <w:contextualSpacing w:val="0"/>
              <w:jc w:val="center"/>
            </w:pPr>
          </w:p>
        </w:tc>
      </w:tr>
    </w:tbl>
    <w:p w:rsidR="00DB57B0" w:rsidRDefault="00DB57B0">
      <w:pPr>
        <w:pStyle w:val="normal0"/>
      </w:pPr>
    </w:p>
    <w:sectPr w:rsidR="00DB57B0" w:rsidSect="00DB57B0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DB57B0"/>
    <w:rsid w:val="00801827"/>
    <w:rsid w:val="00DB57B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B57B0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DB57B0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DB57B0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DB57B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DB57B0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DB57B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B57B0"/>
  </w:style>
  <w:style w:type="paragraph" w:styleId="Title">
    <w:name w:val="Title"/>
    <w:basedOn w:val="normal0"/>
    <w:next w:val="normal0"/>
    <w:rsid w:val="00DB57B0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DB57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DB57B0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Macintosh Word</Application>
  <DocSecurity>0</DocSecurity>
  <Lines>11</Lines>
  <Paragraphs>2</Paragraphs>
  <ScaleCrop>false</ScaleCrop>
  <Company>TDSB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2015-05-28T14:52:00Z</dcterms:created>
  <dcterms:modified xsi:type="dcterms:W3CDTF">2015-05-28T14:52:00Z</dcterms:modified>
</cp:coreProperties>
</file>