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6331" w:rsidRDefault="00DA4102">
      <w:pPr>
        <w:pStyle w:val="normal0"/>
        <w:jc w:val="center"/>
      </w:pPr>
      <w:r>
        <w:rPr>
          <w:b/>
          <w:sz w:val="28"/>
        </w:rPr>
        <w:t xml:space="preserve">Grade 6 - </w:t>
      </w:r>
      <w:r>
        <w:rPr>
          <w:b/>
          <w:sz w:val="28"/>
        </w:rPr>
        <w:t>Mass, Capacity, Volume &amp; Surface Area Achievement Chart</w:t>
      </w:r>
    </w:p>
    <w:p w:rsidR="001B6331" w:rsidRDefault="001B6331">
      <w:pPr>
        <w:pStyle w:val="normal0"/>
      </w:pPr>
    </w:p>
    <w:tbl>
      <w:tblPr>
        <w:tblStyle w:val="a"/>
        <w:tblW w:w="10179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25"/>
        <w:gridCol w:w="1515"/>
        <w:gridCol w:w="1515"/>
        <w:gridCol w:w="1515"/>
        <w:gridCol w:w="1509"/>
      </w:tblGrid>
      <w:tr w:rsidR="001B6331">
        <w:tc>
          <w:tcPr>
            <w:tcW w:w="4125" w:type="dxa"/>
            <w:tcBorders>
              <w:bottom w:val="single" w:sz="4" w:space="0" w:color="000000"/>
            </w:tcBorders>
          </w:tcPr>
          <w:p w:rsidR="001B6331" w:rsidRDefault="00DA4102">
            <w:pPr>
              <w:pStyle w:val="normal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1B6331" w:rsidRDefault="00DA4102">
            <w:pPr>
              <w:pStyle w:val="normal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1B6331" w:rsidRDefault="00DA4102">
            <w:pPr>
              <w:pStyle w:val="normal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1B6331" w:rsidRDefault="00DA4102">
            <w:pPr>
              <w:pStyle w:val="normal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1B6331" w:rsidRDefault="00DA4102">
            <w:pPr>
              <w:pStyle w:val="normal0"/>
              <w:jc w:val="center"/>
            </w:pPr>
            <w:r>
              <w:rPr>
                <w:b/>
              </w:rPr>
              <w:t>Level 4</w:t>
            </w:r>
          </w:p>
        </w:tc>
      </w:tr>
      <w:tr w:rsidR="001B6331">
        <w:tc>
          <w:tcPr>
            <w:tcW w:w="4125" w:type="dxa"/>
            <w:shd w:val="clear" w:color="auto" w:fill="E6E6E6"/>
          </w:tcPr>
          <w:p w:rsidR="001B6331" w:rsidRDefault="00DA4102">
            <w:pPr>
              <w:pStyle w:val="normal0"/>
            </w:pPr>
            <w:r>
              <w:rPr>
                <w:b/>
              </w:rPr>
              <w:t>Knowledge and Understanding</w:t>
            </w:r>
          </w:p>
          <w:p w:rsidR="001B6331" w:rsidRDefault="001B6331">
            <w:pPr>
              <w:pStyle w:val="normal0"/>
            </w:pPr>
          </w:p>
          <w:p w:rsidR="001B6331" w:rsidRDefault="00DA4102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</w:pP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</w:pP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</w:pPr>
          </w:p>
        </w:tc>
        <w:tc>
          <w:tcPr>
            <w:tcW w:w="1509" w:type="dxa"/>
            <w:shd w:val="clear" w:color="auto" w:fill="E6E6E6"/>
          </w:tcPr>
          <w:p w:rsidR="001B6331" w:rsidRDefault="001B6331">
            <w:pPr>
              <w:pStyle w:val="normal0"/>
            </w:pPr>
          </w:p>
        </w:tc>
      </w:tr>
      <w:tr w:rsidR="001B6331">
        <w:tc>
          <w:tcPr>
            <w:tcW w:w="4125" w:type="dxa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>- demonstrates an understanding of the relationship between an estimated and precise measurement</w:t>
            </w:r>
          </w:p>
        </w:tc>
        <w:tc>
          <w:tcPr>
            <w:tcW w:w="1515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Limited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Knowledge</w:t>
            </w: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Some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Knowledge</w:t>
            </w:r>
          </w:p>
        </w:tc>
        <w:tc>
          <w:tcPr>
            <w:tcW w:w="1515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Considerable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Knowledge</w:t>
            </w:r>
          </w:p>
        </w:tc>
        <w:tc>
          <w:tcPr>
            <w:tcW w:w="1509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Thorough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Knowledge</w:t>
            </w:r>
          </w:p>
        </w:tc>
      </w:tr>
      <w:tr w:rsidR="001B6331">
        <w:tc>
          <w:tcPr>
            <w:tcW w:w="4125" w:type="dxa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>- estimate, measure and record mass capacity and volume using metric units</w:t>
            </w: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demonstrate an understanding of how to convert metric units from larger to smaller (e.g.  Kg to g, L to ml)</w:t>
            </w: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E6E6E6"/>
          </w:tcPr>
          <w:p w:rsidR="001B6331" w:rsidRDefault="00DA4102">
            <w:pPr>
              <w:pStyle w:val="normal0"/>
            </w:pPr>
            <w:r>
              <w:rPr>
                <w:b/>
                <w:sz w:val="28"/>
              </w:rPr>
              <w:t>Thinking</w:t>
            </w:r>
          </w:p>
          <w:p w:rsidR="001B6331" w:rsidRDefault="001B6331">
            <w:pPr>
              <w:pStyle w:val="normal0"/>
            </w:pPr>
          </w:p>
          <w:p w:rsidR="001B6331" w:rsidRDefault="00DA4102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>- determine the relationship between the height, the area of the base and the volume of a prism</w:t>
            </w:r>
          </w:p>
        </w:tc>
        <w:tc>
          <w:tcPr>
            <w:tcW w:w="1515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Limited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Some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Considerable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High Degree of Effectiveness</w:t>
            </w: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deconstructs problems to determine necessary information</w:t>
            </w: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tcBorders>
              <w:bottom w:val="single" w:sz="4" w:space="0" w:color="000000"/>
            </w:tcBorders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- explains how the  surface area of rectangular and triangular prisms are related </w:t>
            </w: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tcBorders>
              <w:bottom w:val="single" w:sz="4" w:space="0" w:color="000000"/>
            </w:tcBorders>
            <w:shd w:val="clear" w:color="auto" w:fill="E6E6E6"/>
          </w:tcPr>
          <w:p w:rsidR="001B6331" w:rsidRDefault="00DA4102">
            <w:pPr>
              <w:pStyle w:val="normal0"/>
            </w:pPr>
            <w:r>
              <w:rPr>
                <w:b/>
                <w:sz w:val="28"/>
              </w:rPr>
              <w:t>Communication</w:t>
            </w:r>
          </w:p>
          <w:p w:rsidR="001B6331" w:rsidRDefault="001B6331">
            <w:pPr>
              <w:pStyle w:val="normal0"/>
            </w:pPr>
          </w:p>
          <w:p w:rsidR="001B6331" w:rsidRDefault="00DA4102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FFFFFF"/>
          </w:tcPr>
          <w:p w:rsidR="001B6331" w:rsidRDefault="00DA4102">
            <w:pPr>
              <w:pStyle w:val="normal0"/>
            </w:pPr>
            <w:bookmarkStart w:id="0" w:name="h.gjdgxs" w:colFirst="0" w:colLast="0"/>
            <w:bookmarkEnd w:id="0"/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communicates</w:t>
            </w:r>
            <w:r>
              <w:rPr>
                <w:sz w:val="22"/>
              </w:rPr>
              <w:t xml:space="preserve"> mathematical thinking when </w:t>
            </w:r>
            <w:r>
              <w:rPr>
                <w:sz w:val="22"/>
              </w:rPr>
              <w:t>determining surface area and measuring mass/capacity/volume</w:t>
            </w:r>
          </w:p>
        </w:tc>
        <w:tc>
          <w:tcPr>
            <w:tcW w:w="1515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Limited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Some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Considerable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High Degree of Effectiveness</w:t>
            </w: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FFFFFF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- communicates using a variety </w:t>
            </w:r>
          </w:p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of modes (short answers, </w:t>
            </w:r>
          </w:p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lengthy explanations, verbal reports, diagrams, numerically) </w:t>
            </w: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tcBorders>
              <w:bottom w:val="single" w:sz="4" w:space="0" w:color="000000"/>
            </w:tcBorders>
            <w:shd w:val="clear" w:color="auto" w:fill="FFFFFF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- uses appropriate vocabulary </w:t>
            </w:r>
          </w:p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and terminology (e.g mass, capacity, volume, </w:t>
            </w: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E6E6E6"/>
          </w:tcPr>
          <w:p w:rsidR="001B6331" w:rsidRDefault="00DA4102">
            <w:pPr>
              <w:pStyle w:val="normal0"/>
            </w:pPr>
            <w:r>
              <w:rPr>
                <w:b/>
                <w:sz w:val="28"/>
              </w:rPr>
              <w:t>Application</w:t>
            </w:r>
          </w:p>
          <w:p w:rsidR="001B6331" w:rsidRDefault="001B6331">
            <w:pPr>
              <w:pStyle w:val="normal0"/>
            </w:pPr>
          </w:p>
          <w:p w:rsidR="001B6331" w:rsidRDefault="00DA4102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FFFFFF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 xml:space="preserve">- applies knowledge and skills about 3D measurement to in-class assignments </w:t>
            </w:r>
          </w:p>
        </w:tc>
        <w:tc>
          <w:tcPr>
            <w:tcW w:w="1515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Limited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Some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15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Considerable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Effectiveness</w:t>
            </w: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High Degree</w:t>
            </w:r>
          </w:p>
          <w:p w:rsidR="001B6331" w:rsidRDefault="00DA4102">
            <w:pPr>
              <w:pStyle w:val="normal0"/>
              <w:jc w:val="center"/>
            </w:pPr>
            <w:r>
              <w:rPr>
                <w:sz w:val="22"/>
              </w:rPr>
              <w:t>Of Effectiveness</w:t>
            </w: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FFFFFF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>- transfers knowledge and skills about</w:t>
            </w:r>
            <w:r>
              <w:rPr>
                <w:sz w:val="22"/>
              </w:rPr>
              <w:t xml:space="preserve"> 3D measurement </w:t>
            </w:r>
            <w:r>
              <w:rPr>
                <w:sz w:val="22"/>
              </w:rPr>
              <w:t xml:space="preserve">to new contexts </w:t>
            </w:r>
          </w:p>
          <w:p w:rsidR="001B6331" w:rsidRDefault="00DA4102">
            <w:pPr>
              <w:pStyle w:val="normal0"/>
            </w:pPr>
            <w:r>
              <w:rPr>
                <w:sz w:val="22"/>
              </w:rPr>
              <w:t>(e.</w:t>
            </w:r>
            <w:r>
              <w:rPr>
                <w:sz w:val="22"/>
              </w:rPr>
              <w:t>g. homework, creating new word problems)</w:t>
            </w: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  <w:tr w:rsidR="001B6331">
        <w:tc>
          <w:tcPr>
            <w:tcW w:w="4125" w:type="dxa"/>
            <w:shd w:val="clear" w:color="auto" w:fill="FFFFFF"/>
          </w:tcPr>
          <w:p w:rsidR="001B6331" w:rsidRDefault="00DA4102">
            <w:pPr>
              <w:pStyle w:val="normal0"/>
            </w:pPr>
            <w:r>
              <w:rPr>
                <w:sz w:val="22"/>
              </w:rPr>
              <w:t>- makes connections between a variety of real life situations where knowledge of surface area and volume can occur</w:t>
            </w:r>
          </w:p>
          <w:p w:rsidR="001B6331" w:rsidRDefault="001B6331">
            <w:pPr>
              <w:pStyle w:val="normal0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widowControl w:val="0"/>
              <w:spacing w:line="276" w:lineRule="auto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  <w:p w:rsidR="001B6331" w:rsidRDefault="001B6331">
            <w:pPr>
              <w:pStyle w:val="normal0"/>
              <w:jc w:val="center"/>
            </w:pPr>
          </w:p>
        </w:tc>
      </w:tr>
    </w:tbl>
    <w:p w:rsidR="001B6331" w:rsidRDefault="001B6331">
      <w:pPr>
        <w:pStyle w:val="normal0"/>
      </w:pPr>
    </w:p>
    <w:sectPr w:rsidR="001B6331" w:rsidSect="001B6331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1B6331"/>
    <w:rsid w:val="001B6331"/>
    <w:rsid w:val="00DA410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B6331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1B6331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1B6331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1B633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6331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1B633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1B6331"/>
  </w:style>
  <w:style w:type="paragraph" w:styleId="Title">
    <w:name w:val="Title"/>
    <w:basedOn w:val="normal0"/>
    <w:next w:val="normal0"/>
    <w:rsid w:val="001B6331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1B63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1B633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Macintosh Word</Application>
  <DocSecurity>0</DocSecurity>
  <Lines>13</Lines>
  <Paragraphs>3</Paragraphs>
  <ScaleCrop>false</ScaleCrop>
  <Company>TDSB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2015-05-28T15:01:00Z</dcterms:created>
  <dcterms:modified xsi:type="dcterms:W3CDTF">2015-05-28T15:01:00Z</dcterms:modified>
</cp:coreProperties>
</file>