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0C7A" w:rsidRDefault="00F168E5">
      <w:pPr>
        <w:pStyle w:val="normal0"/>
        <w:jc w:val="center"/>
      </w:pPr>
      <w:r>
        <w:rPr>
          <w:b/>
          <w:sz w:val="28"/>
        </w:rPr>
        <w:t>Grade 6 - Math Rubric – Number Sense</w:t>
      </w:r>
    </w:p>
    <w:p w:rsidR="00440C7A" w:rsidRDefault="00440C7A">
      <w:pPr>
        <w:pStyle w:val="normal0"/>
      </w:pPr>
    </w:p>
    <w:tbl>
      <w:tblPr>
        <w:tblStyle w:val="a"/>
        <w:tblW w:w="1017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92"/>
        <w:gridCol w:w="1558"/>
        <w:gridCol w:w="1557"/>
        <w:gridCol w:w="1557"/>
        <w:gridCol w:w="1509"/>
      </w:tblGrid>
      <w:tr w:rsidR="00440C7A">
        <w:tc>
          <w:tcPr>
            <w:tcW w:w="3992" w:type="dxa"/>
            <w:tcBorders>
              <w:bottom w:val="single" w:sz="4" w:space="0" w:color="000000"/>
            </w:tcBorders>
          </w:tcPr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4</w:t>
            </w:r>
          </w:p>
        </w:tc>
      </w:tr>
      <w:tr w:rsidR="00440C7A">
        <w:tc>
          <w:tcPr>
            <w:tcW w:w="3992" w:type="dxa"/>
            <w:shd w:val="clear" w:color="auto" w:fill="E6E6E6"/>
          </w:tcPr>
          <w:p w:rsidR="00440C7A" w:rsidRDefault="00F168E5">
            <w:pPr>
              <w:pStyle w:val="normal0"/>
              <w:contextualSpacing w:val="0"/>
            </w:pPr>
            <w:r>
              <w:rPr>
                <w:b/>
              </w:rPr>
              <w:t>Knowledge and Understanding</w:t>
            </w:r>
          </w:p>
          <w:p w:rsidR="00440C7A" w:rsidRDefault="00440C7A">
            <w:pPr>
              <w:pStyle w:val="normal0"/>
              <w:contextualSpacing w:val="0"/>
            </w:pPr>
          </w:p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57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57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09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</w:pPr>
          </w:p>
        </w:tc>
      </w:tr>
      <w:tr w:rsidR="00440C7A">
        <w:tc>
          <w:tcPr>
            <w:tcW w:w="3992" w:type="dxa"/>
          </w:tcPr>
          <w:p w:rsidR="00440C7A" w:rsidRDefault="00F168E5">
            <w:pPr>
              <w:pStyle w:val="normal0"/>
              <w:contextualSpacing w:val="0"/>
            </w:pPr>
            <w:r>
              <w:t xml:space="preserve">– decomposes and composes numbers 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58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Limited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Knowledge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Some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Knowledge</w:t>
            </w:r>
          </w:p>
        </w:tc>
        <w:tc>
          <w:tcPr>
            <w:tcW w:w="1557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Considerable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Knowledge</w:t>
            </w:r>
          </w:p>
        </w:tc>
        <w:tc>
          <w:tcPr>
            <w:tcW w:w="1509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Thorough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Knowledge</w:t>
            </w:r>
          </w:p>
        </w:tc>
      </w:tr>
      <w:tr w:rsidR="00440C7A">
        <w:tc>
          <w:tcPr>
            <w:tcW w:w="3992" w:type="dxa"/>
          </w:tcPr>
          <w:p w:rsidR="00440C7A" w:rsidRDefault="00F168E5">
            <w:pPr>
              <w:pStyle w:val="normal0"/>
              <w:contextualSpacing w:val="0"/>
            </w:pPr>
            <w:r>
              <w:t>– determines LCM &amp; GCF for various number comparisons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</w:tcPr>
          <w:p w:rsidR="00440C7A" w:rsidRDefault="00F168E5">
            <w:pPr>
              <w:pStyle w:val="normal0"/>
              <w:contextualSpacing w:val="0"/>
            </w:pPr>
            <w:r>
              <w:t>- represents numbers using a variety of forms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E6E6E6"/>
          </w:tcPr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8"/>
              </w:rPr>
              <w:t>Thinking</w:t>
            </w:r>
          </w:p>
          <w:p w:rsidR="00440C7A" w:rsidRDefault="00440C7A">
            <w:pPr>
              <w:pStyle w:val="normal0"/>
              <w:contextualSpacing w:val="0"/>
            </w:pPr>
          </w:p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</w:tcPr>
          <w:p w:rsidR="00440C7A" w:rsidRDefault="00F168E5">
            <w:pPr>
              <w:pStyle w:val="normal0"/>
              <w:contextualSpacing w:val="0"/>
            </w:pPr>
            <w:r>
              <w:t>–  demonstrates mathematical thinking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58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Limited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Some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Considerable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sz w:val="22"/>
              </w:rPr>
              <w:t>High Degree of 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</w:tcPr>
          <w:p w:rsidR="00440C7A" w:rsidRDefault="00F168E5">
            <w:pPr>
              <w:pStyle w:val="normal0"/>
              <w:contextualSpacing w:val="0"/>
            </w:pPr>
            <w:r>
              <w:t>– deconstructs problems to determine necessary information</w:t>
            </w: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tcBorders>
              <w:bottom w:val="single" w:sz="4" w:space="0" w:color="000000"/>
            </w:tcBorders>
          </w:tcPr>
          <w:p w:rsidR="00440C7A" w:rsidRDefault="00F168E5">
            <w:pPr>
              <w:pStyle w:val="normal0"/>
              <w:contextualSpacing w:val="0"/>
            </w:pPr>
            <w:r>
              <w:t>– uses problem solving skills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tcBorders>
              <w:bottom w:val="single" w:sz="4" w:space="0" w:color="000000"/>
            </w:tcBorders>
            <w:shd w:val="clear" w:color="auto" w:fill="E6E6E6"/>
          </w:tcPr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8"/>
              </w:rPr>
              <w:t>Communication</w:t>
            </w:r>
          </w:p>
          <w:p w:rsidR="00440C7A" w:rsidRDefault="00440C7A">
            <w:pPr>
              <w:pStyle w:val="normal0"/>
              <w:contextualSpacing w:val="0"/>
            </w:pPr>
          </w:p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FFFFFF"/>
          </w:tcPr>
          <w:p w:rsidR="00440C7A" w:rsidRDefault="00F168E5">
            <w:pPr>
              <w:pStyle w:val="normal0"/>
              <w:contextualSpacing w:val="0"/>
            </w:pPr>
            <w:r>
              <w:t>- explains mathematical thinking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58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Limited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Some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Considerable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sz w:val="22"/>
              </w:rPr>
              <w:t>High Degree of 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FFFFFF"/>
          </w:tcPr>
          <w:p w:rsidR="00440C7A" w:rsidRDefault="00F168E5">
            <w:pPr>
              <w:pStyle w:val="normal0"/>
              <w:contextualSpacing w:val="0"/>
            </w:pPr>
            <w:r>
              <w:t xml:space="preserve">- communicates using a variety </w:t>
            </w:r>
          </w:p>
          <w:p w:rsidR="00440C7A" w:rsidRDefault="00F168E5">
            <w:pPr>
              <w:pStyle w:val="normal0"/>
              <w:contextualSpacing w:val="0"/>
            </w:pPr>
            <w:r>
              <w:t xml:space="preserve">of modes (short answers, </w:t>
            </w:r>
          </w:p>
          <w:p w:rsidR="00440C7A" w:rsidRDefault="00F168E5">
            <w:pPr>
              <w:pStyle w:val="normal0"/>
              <w:contextualSpacing w:val="0"/>
            </w:pPr>
            <w:r>
              <w:t xml:space="preserve">lengthy explanations, verbal reports, diagrams, numerically) </w:t>
            </w: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tcBorders>
              <w:bottom w:val="single" w:sz="4" w:space="0" w:color="000000"/>
            </w:tcBorders>
            <w:shd w:val="clear" w:color="auto" w:fill="FFFFFF"/>
          </w:tcPr>
          <w:p w:rsidR="00440C7A" w:rsidRDefault="00F168E5">
            <w:pPr>
              <w:pStyle w:val="normal0"/>
              <w:contextualSpacing w:val="0"/>
            </w:pPr>
            <w:r>
              <w:t xml:space="preserve">- uses appropriate vocabulary </w:t>
            </w:r>
          </w:p>
          <w:p w:rsidR="00440C7A" w:rsidRDefault="00F168E5">
            <w:pPr>
              <w:pStyle w:val="normal0"/>
              <w:contextualSpacing w:val="0"/>
            </w:pPr>
            <w:r>
              <w:t>and terminology (e.g. factors, multiples, math facts)</w:t>
            </w: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E6E6E6"/>
          </w:tcPr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8"/>
              </w:rPr>
              <w:t>Application</w:t>
            </w:r>
          </w:p>
          <w:p w:rsidR="00440C7A" w:rsidRDefault="00440C7A">
            <w:pPr>
              <w:pStyle w:val="normal0"/>
              <w:contextualSpacing w:val="0"/>
            </w:pPr>
          </w:p>
          <w:p w:rsidR="00440C7A" w:rsidRDefault="00F168E5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FFFFFF"/>
          </w:tcPr>
          <w:p w:rsidR="00440C7A" w:rsidRDefault="00F168E5">
            <w:pPr>
              <w:pStyle w:val="normal0"/>
              <w:contextualSpacing w:val="0"/>
            </w:pPr>
            <w:r>
              <w:t xml:space="preserve">- applies number sense skills in familiar contexts 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1558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Limited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Some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Considerable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t>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sz w:val="22"/>
              </w:rPr>
              <w:t>High Degree</w:t>
            </w:r>
          </w:p>
          <w:p w:rsidR="00440C7A" w:rsidRDefault="00F168E5">
            <w:pPr>
              <w:pStyle w:val="normal0"/>
              <w:contextualSpacing w:val="0"/>
              <w:jc w:val="center"/>
            </w:pPr>
            <w:r>
              <w:rPr>
                <w:sz w:val="22"/>
              </w:rPr>
              <w:t>Of Effectiveness</w:t>
            </w: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FFFFFF"/>
          </w:tcPr>
          <w:p w:rsidR="00440C7A" w:rsidRDefault="00F168E5">
            <w:pPr>
              <w:pStyle w:val="normal0"/>
              <w:contextualSpacing w:val="0"/>
            </w:pPr>
            <w:r>
              <w:t xml:space="preserve">- transfers knowledge and skills to new contexts </w:t>
            </w:r>
          </w:p>
          <w:p w:rsidR="00440C7A" w:rsidRDefault="00440C7A">
            <w:pPr>
              <w:pStyle w:val="normal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  <w:tr w:rsidR="00440C7A">
        <w:tc>
          <w:tcPr>
            <w:tcW w:w="3992" w:type="dxa"/>
            <w:shd w:val="clear" w:color="auto" w:fill="FFFFFF"/>
          </w:tcPr>
          <w:p w:rsidR="00440C7A" w:rsidRDefault="00F168E5">
            <w:pPr>
              <w:pStyle w:val="normal0"/>
              <w:contextualSpacing w:val="0"/>
            </w:pPr>
            <w:r>
              <w:t>- makes connections among concepts</w:t>
            </w:r>
          </w:p>
          <w:p w:rsidR="00440C7A" w:rsidRDefault="00F168E5">
            <w:pPr>
              <w:pStyle w:val="normal0"/>
              <w:contextualSpacing w:val="0"/>
            </w:pPr>
            <w:r>
              <w:t xml:space="preserve"> </w:t>
            </w: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  <w:p w:rsidR="00440C7A" w:rsidRDefault="00440C7A">
            <w:pPr>
              <w:pStyle w:val="normal0"/>
              <w:contextualSpacing w:val="0"/>
              <w:jc w:val="center"/>
            </w:pPr>
          </w:p>
        </w:tc>
      </w:tr>
    </w:tbl>
    <w:p w:rsidR="00440C7A" w:rsidRDefault="00440C7A">
      <w:pPr>
        <w:pStyle w:val="normal0"/>
      </w:pPr>
    </w:p>
    <w:sectPr w:rsidR="00440C7A" w:rsidSect="00440C7A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440C7A"/>
    <w:rsid w:val="00440C7A"/>
    <w:rsid w:val="00F168E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40C7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440C7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440C7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440C7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440C7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440C7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440C7A"/>
  </w:style>
  <w:style w:type="paragraph" w:styleId="Title">
    <w:name w:val="Title"/>
    <w:basedOn w:val="normal0"/>
    <w:next w:val="normal0"/>
    <w:rsid w:val="00440C7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440C7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440C7A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Macintosh Word</Application>
  <DocSecurity>0</DocSecurity>
  <Lines>9</Lines>
  <Paragraphs>2</Paragraphs>
  <ScaleCrop>false</ScaleCrop>
  <Company>TDSB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2015-05-28T14:51:00Z</dcterms:created>
  <dcterms:modified xsi:type="dcterms:W3CDTF">2015-05-28T14:51:00Z</dcterms:modified>
</cp:coreProperties>
</file>