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3CD7" w:rsidRDefault="002F0098">
      <w:pPr>
        <w:pStyle w:val="normal0"/>
        <w:jc w:val="center"/>
      </w:pPr>
      <w:r>
        <w:rPr>
          <w:b/>
          <w:sz w:val="28"/>
        </w:rPr>
        <w:t>Grade 6 -</w:t>
      </w:r>
      <w:r>
        <w:rPr>
          <w:b/>
          <w:sz w:val="28"/>
        </w:rPr>
        <w:t xml:space="preserve"> Linear Measurement Achievement Chart</w:t>
      </w:r>
    </w:p>
    <w:p w:rsidR="009B3CD7" w:rsidRDefault="009B3CD7">
      <w:pPr>
        <w:pStyle w:val="normal0"/>
      </w:pPr>
    </w:p>
    <w:tbl>
      <w:tblPr>
        <w:tblStyle w:val="a"/>
        <w:tblW w:w="10173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92"/>
        <w:gridCol w:w="1558"/>
        <w:gridCol w:w="1557"/>
        <w:gridCol w:w="1557"/>
        <w:gridCol w:w="1509"/>
      </w:tblGrid>
      <w:tr w:rsidR="009B3CD7">
        <w:tc>
          <w:tcPr>
            <w:tcW w:w="3992" w:type="dxa"/>
            <w:tcBorders>
              <w:bottom w:val="single" w:sz="4" w:space="0" w:color="000000"/>
            </w:tcBorders>
          </w:tcPr>
          <w:p w:rsidR="009B3CD7" w:rsidRDefault="002F0098">
            <w:pPr>
              <w:pStyle w:val="normal0"/>
              <w:jc w:val="center"/>
            </w:pPr>
            <w:r>
              <w:rPr>
                <w:b/>
              </w:rPr>
              <w:t>Assessment Category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9B3CD7" w:rsidRDefault="002F0098">
            <w:pPr>
              <w:pStyle w:val="normal0"/>
              <w:jc w:val="center"/>
            </w:pPr>
            <w:r>
              <w:rPr>
                <w:b/>
              </w:rPr>
              <w:t>Level 1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:rsidR="009B3CD7" w:rsidRDefault="002F0098">
            <w:pPr>
              <w:pStyle w:val="normal0"/>
              <w:jc w:val="center"/>
            </w:pPr>
            <w:r>
              <w:rPr>
                <w:b/>
              </w:rPr>
              <w:t>Level 2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:rsidR="009B3CD7" w:rsidRDefault="002F0098">
            <w:pPr>
              <w:pStyle w:val="normal0"/>
              <w:jc w:val="center"/>
            </w:pPr>
            <w:r>
              <w:rPr>
                <w:b/>
              </w:rPr>
              <w:t>Level 3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 w:rsidR="009B3CD7" w:rsidRDefault="002F0098">
            <w:pPr>
              <w:pStyle w:val="normal0"/>
              <w:jc w:val="center"/>
            </w:pPr>
            <w:r>
              <w:rPr>
                <w:b/>
              </w:rPr>
              <w:t>Level 4</w:t>
            </w:r>
          </w:p>
        </w:tc>
      </w:tr>
      <w:tr w:rsidR="009B3CD7">
        <w:tc>
          <w:tcPr>
            <w:tcW w:w="3992" w:type="dxa"/>
            <w:shd w:val="clear" w:color="auto" w:fill="E6E6E6"/>
          </w:tcPr>
          <w:p w:rsidR="009B3CD7" w:rsidRDefault="002F0098">
            <w:pPr>
              <w:pStyle w:val="normal0"/>
            </w:pPr>
            <w:r>
              <w:rPr>
                <w:b/>
              </w:rPr>
              <w:t>Knowledge and Understanding</w:t>
            </w:r>
          </w:p>
          <w:p w:rsidR="009B3CD7" w:rsidRDefault="009B3CD7">
            <w:pPr>
              <w:pStyle w:val="normal0"/>
            </w:pPr>
          </w:p>
          <w:p w:rsidR="009B3CD7" w:rsidRDefault="002F0098">
            <w:pPr>
              <w:pStyle w:val="normal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558" w:type="dxa"/>
            <w:shd w:val="clear" w:color="auto" w:fill="E6E6E6"/>
          </w:tcPr>
          <w:p w:rsidR="009B3CD7" w:rsidRDefault="009B3CD7">
            <w:pPr>
              <w:pStyle w:val="normal0"/>
            </w:pPr>
          </w:p>
        </w:tc>
        <w:tc>
          <w:tcPr>
            <w:tcW w:w="1557" w:type="dxa"/>
            <w:shd w:val="clear" w:color="auto" w:fill="E6E6E6"/>
          </w:tcPr>
          <w:p w:rsidR="009B3CD7" w:rsidRDefault="009B3CD7">
            <w:pPr>
              <w:pStyle w:val="normal0"/>
            </w:pPr>
          </w:p>
        </w:tc>
        <w:tc>
          <w:tcPr>
            <w:tcW w:w="1557" w:type="dxa"/>
            <w:shd w:val="clear" w:color="auto" w:fill="E6E6E6"/>
          </w:tcPr>
          <w:p w:rsidR="009B3CD7" w:rsidRDefault="009B3CD7">
            <w:pPr>
              <w:pStyle w:val="normal0"/>
            </w:pPr>
          </w:p>
        </w:tc>
        <w:tc>
          <w:tcPr>
            <w:tcW w:w="1509" w:type="dxa"/>
            <w:shd w:val="clear" w:color="auto" w:fill="E6E6E6"/>
          </w:tcPr>
          <w:p w:rsidR="009B3CD7" w:rsidRDefault="009B3CD7">
            <w:pPr>
              <w:pStyle w:val="normal0"/>
            </w:pPr>
          </w:p>
        </w:tc>
      </w:tr>
      <w:tr w:rsidR="009B3CD7">
        <w:tc>
          <w:tcPr>
            <w:tcW w:w="3992" w:type="dxa"/>
          </w:tcPr>
          <w:p w:rsidR="009B3CD7" w:rsidRDefault="002F0098">
            <w:pPr>
              <w:pStyle w:val="normal0"/>
            </w:pPr>
            <w:r>
              <w:rPr>
                <w:sz w:val="22"/>
              </w:rPr>
              <w:t>-demonstrates an understanding of the relationship between an estimated and precise measurement</w:t>
            </w:r>
          </w:p>
        </w:tc>
        <w:tc>
          <w:tcPr>
            <w:tcW w:w="1558" w:type="dxa"/>
            <w:vMerge w:val="restart"/>
          </w:tcPr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2F0098">
            <w:pPr>
              <w:pStyle w:val="normal0"/>
              <w:jc w:val="center"/>
            </w:pPr>
            <w:r>
              <w:t>Limited</w:t>
            </w:r>
          </w:p>
          <w:p w:rsidR="009B3CD7" w:rsidRDefault="002F0098">
            <w:pPr>
              <w:pStyle w:val="normal0"/>
              <w:jc w:val="center"/>
            </w:pPr>
            <w:r>
              <w:t>Knowledge</w:t>
            </w:r>
          </w:p>
          <w:p w:rsidR="009B3CD7" w:rsidRDefault="009B3CD7">
            <w:pPr>
              <w:pStyle w:val="normal0"/>
              <w:jc w:val="center"/>
            </w:pPr>
          </w:p>
        </w:tc>
        <w:tc>
          <w:tcPr>
            <w:tcW w:w="1557" w:type="dxa"/>
            <w:vMerge w:val="restart"/>
          </w:tcPr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2F0098">
            <w:pPr>
              <w:pStyle w:val="normal0"/>
              <w:jc w:val="center"/>
            </w:pPr>
            <w:r>
              <w:t>Some</w:t>
            </w:r>
          </w:p>
          <w:p w:rsidR="009B3CD7" w:rsidRDefault="002F0098">
            <w:pPr>
              <w:pStyle w:val="normal0"/>
              <w:jc w:val="center"/>
            </w:pPr>
            <w:r>
              <w:t>Knowledge</w:t>
            </w:r>
          </w:p>
        </w:tc>
        <w:tc>
          <w:tcPr>
            <w:tcW w:w="1557" w:type="dxa"/>
            <w:vMerge w:val="restart"/>
          </w:tcPr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2F0098">
            <w:pPr>
              <w:pStyle w:val="normal0"/>
              <w:jc w:val="center"/>
            </w:pPr>
            <w:r>
              <w:t>Considerable</w:t>
            </w:r>
          </w:p>
          <w:p w:rsidR="009B3CD7" w:rsidRDefault="002F0098">
            <w:pPr>
              <w:pStyle w:val="normal0"/>
              <w:jc w:val="center"/>
            </w:pPr>
            <w:r>
              <w:t>Knowledge</w:t>
            </w:r>
          </w:p>
        </w:tc>
        <w:tc>
          <w:tcPr>
            <w:tcW w:w="1509" w:type="dxa"/>
            <w:vMerge w:val="restart"/>
          </w:tcPr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2F0098">
            <w:pPr>
              <w:pStyle w:val="normal0"/>
              <w:jc w:val="center"/>
            </w:pPr>
            <w:r>
              <w:t>Thorough</w:t>
            </w:r>
          </w:p>
          <w:p w:rsidR="009B3CD7" w:rsidRDefault="002F0098">
            <w:pPr>
              <w:pStyle w:val="normal0"/>
              <w:jc w:val="center"/>
            </w:pPr>
            <w:r>
              <w:t>Knowledge</w:t>
            </w:r>
          </w:p>
        </w:tc>
      </w:tr>
      <w:tr w:rsidR="009B3CD7">
        <w:tc>
          <w:tcPr>
            <w:tcW w:w="3992" w:type="dxa"/>
          </w:tcPr>
          <w:p w:rsidR="009B3CD7" w:rsidRDefault="002F0098">
            <w:pPr>
              <w:pStyle w:val="normal0"/>
            </w:pPr>
            <w:r>
              <w:rPr>
                <w:sz w:val="22"/>
              </w:rPr>
              <w:t>-estimate, measure and record length, perimeter and area using metric units</w:t>
            </w:r>
          </w:p>
        </w:tc>
        <w:tc>
          <w:tcPr>
            <w:tcW w:w="0" w:type="auto"/>
            <w:vMerge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</w:tc>
      </w:tr>
      <w:tr w:rsidR="009B3CD7">
        <w:tc>
          <w:tcPr>
            <w:tcW w:w="3992" w:type="dxa"/>
          </w:tcPr>
          <w:p w:rsidR="009B3CD7" w:rsidRDefault="002F0098">
            <w:pPr>
              <w:pStyle w:val="normal0"/>
            </w:pPr>
            <w:r>
              <w:rPr>
                <w:sz w:val="22"/>
              </w:rPr>
              <w:t>-</w:t>
            </w:r>
            <w:r>
              <w:rPr>
                <w:sz w:val="22"/>
              </w:rPr>
              <w:t>demonstrate an understanding of how to convert metric units from larger to smaller (e.g.  metres to centimetres)</w:t>
            </w:r>
          </w:p>
        </w:tc>
        <w:tc>
          <w:tcPr>
            <w:tcW w:w="0" w:type="auto"/>
            <w:vMerge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</w:tc>
      </w:tr>
      <w:tr w:rsidR="009B3CD7">
        <w:tc>
          <w:tcPr>
            <w:tcW w:w="3992" w:type="dxa"/>
            <w:shd w:val="clear" w:color="auto" w:fill="E6E6E6"/>
          </w:tcPr>
          <w:p w:rsidR="009B3CD7" w:rsidRDefault="002F0098">
            <w:pPr>
              <w:pStyle w:val="normal0"/>
            </w:pPr>
            <w:r>
              <w:rPr>
                <w:b/>
                <w:sz w:val="28"/>
              </w:rPr>
              <w:t>Thinking</w:t>
            </w:r>
          </w:p>
          <w:p w:rsidR="009B3CD7" w:rsidRDefault="009B3CD7">
            <w:pPr>
              <w:pStyle w:val="normal0"/>
            </w:pPr>
          </w:p>
          <w:p w:rsidR="009B3CD7" w:rsidRDefault="002F0098">
            <w:pPr>
              <w:pStyle w:val="normal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558" w:type="dxa"/>
            <w:shd w:val="clear" w:color="auto" w:fill="E6E6E6"/>
          </w:tcPr>
          <w:p w:rsidR="009B3CD7" w:rsidRDefault="009B3CD7">
            <w:pPr>
              <w:pStyle w:val="normal0"/>
              <w:jc w:val="center"/>
            </w:pPr>
          </w:p>
        </w:tc>
        <w:tc>
          <w:tcPr>
            <w:tcW w:w="1557" w:type="dxa"/>
            <w:shd w:val="clear" w:color="auto" w:fill="E6E6E6"/>
          </w:tcPr>
          <w:p w:rsidR="009B3CD7" w:rsidRDefault="009B3CD7">
            <w:pPr>
              <w:pStyle w:val="normal0"/>
              <w:jc w:val="center"/>
            </w:pPr>
          </w:p>
        </w:tc>
        <w:tc>
          <w:tcPr>
            <w:tcW w:w="1557" w:type="dxa"/>
            <w:shd w:val="clear" w:color="auto" w:fill="E6E6E6"/>
          </w:tcPr>
          <w:p w:rsidR="009B3CD7" w:rsidRDefault="009B3CD7">
            <w:pPr>
              <w:pStyle w:val="normal0"/>
              <w:jc w:val="center"/>
            </w:pPr>
          </w:p>
        </w:tc>
        <w:tc>
          <w:tcPr>
            <w:tcW w:w="1509" w:type="dxa"/>
            <w:shd w:val="clear" w:color="auto" w:fill="E6E6E6"/>
          </w:tcPr>
          <w:p w:rsidR="009B3CD7" w:rsidRDefault="009B3CD7">
            <w:pPr>
              <w:pStyle w:val="normal0"/>
              <w:jc w:val="center"/>
            </w:pPr>
          </w:p>
        </w:tc>
      </w:tr>
      <w:tr w:rsidR="009B3CD7">
        <w:tc>
          <w:tcPr>
            <w:tcW w:w="3992" w:type="dxa"/>
          </w:tcPr>
          <w:p w:rsidR="009B3CD7" w:rsidRDefault="002F0098">
            <w:pPr>
              <w:pStyle w:val="normal0"/>
            </w:pPr>
            <w:r>
              <w:rPr>
                <w:sz w:val="22"/>
              </w:rPr>
              <w:t>-select the appropriate metric unit to measure length or distance in a real-life situation</w:t>
            </w:r>
          </w:p>
        </w:tc>
        <w:tc>
          <w:tcPr>
            <w:tcW w:w="1558" w:type="dxa"/>
            <w:vMerge w:val="restart"/>
          </w:tcPr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2F0098">
            <w:pPr>
              <w:pStyle w:val="normal0"/>
              <w:jc w:val="center"/>
            </w:pPr>
            <w:r>
              <w:t>Limited</w:t>
            </w:r>
          </w:p>
          <w:p w:rsidR="009B3CD7" w:rsidRDefault="002F0098">
            <w:pPr>
              <w:pStyle w:val="normal0"/>
              <w:jc w:val="center"/>
            </w:pPr>
            <w:r>
              <w:t>Effectiveness</w:t>
            </w:r>
          </w:p>
          <w:p w:rsidR="009B3CD7" w:rsidRDefault="009B3CD7">
            <w:pPr>
              <w:pStyle w:val="normal0"/>
              <w:jc w:val="center"/>
            </w:pPr>
          </w:p>
        </w:tc>
        <w:tc>
          <w:tcPr>
            <w:tcW w:w="1557" w:type="dxa"/>
            <w:vMerge w:val="restart"/>
          </w:tcPr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2F0098">
            <w:pPr>
              <w:pStyle w:val="normal0"/>
              <w:jc w:val="center"/>
            </w:pPr>
            <w:r>
              <w:t>Some</w:t>
            </w:r>
          </w:p>
          <w:p w:rsidR="009B3CD7" w:rsidRDefault="002F0098">
            <w:pPr>
              <w:pStyle w:val="normal0"/>
              <w:jc w:val="center"/>
            </w:pPr>
            <w:r>
              <w:t>Effectiveness</w:t>
            </w:r>
          </w:p>
          <w:p w:rsidR="009B3CD7" w:rsidRDefault="009B3CD7">
            <w:pPr>
              <w:pStyle w:val="normal0"/>
              <w:jc w:val="center"/>
            </w:pPr>
          </w:p>
        </w:tc>
        <w:tc>
          <w:tcPr>
            <w:tcW w:w="1557" w:type="dxa"/>
            <w:vMerge w:val="restart"/>
          </w:tcPr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2F0098">
            <w:pPr>
              <w:pStyle w:val="normal0"/>
              <w:jc w:val="center"/>
            </w:pPr>
            <w:r>
              <w:t>Considerable</w:t>
            </w:r>
          </w:p>
          <w:p w:rsidR="009B3CD7" w:rsidRDefault="002F0098">
            <w:pPr>
              <w:pStyle w:val="normal0"/>
              <w:jc w:val="center"/>
            </w:pPr>
            <w:r>
              <w:t>Effectiveness</w:t>
            </w:r>
          </w:p>
          <w:p w:rsidR="009B3CD7" w:rsidRDefault="009B3CD7">
            <w:pPr>
              <w:pStyle w:val="normal0"/>
              <w:jc w:val="center"/>
            </w:pPr>
          </w:p>
        </w:tc>
        <w:tc>
          <w:tcPr>
            <w:tcW w:w="1509" w:type="dxa"/>
            <w:vMerge w:val="restart"/>
          </w:tcPr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2F0098">
            <w:pPr>
              <w:pStyle w:val="normal0"/>
              <w:jc w:val="center"/>
            </w:pPr>
            <w:r>
              <w:rPr>
                <w:sz w:val="22"/>
              </w:rPr>
              <w:t>High Degree of Effectiveness</w:t>
            </w:r>
          </w:p>
          <w:p w:rsidR="009B3CD7" w:rsidRDefault="009B3CD7">
            <w:pPr>
              <w:pStyle w:val="normal0"/>
              <w:jc w:val="center"/>
            </w:pPr>
          </w:p>
        </w:tc>
      </w:tr>
      <w:tr w:rsidR="009B3CD7">
        <w:tc>
          <w:tcPr>
            <w:tcW w:w="3992" w:type="dxa"/>
          </w:tcPr>
          <w:p w:rsidR="009B3CD7" w:rsidRDefault="002F0098">
            <w:pPr>
              <w:pStyle w:val="normal0"/>
            </w:pPr>
            <w:r>
              <w:rPr>
                <w:sz w:val="22"/>
              </w:rPr>
              <w:t>-</w:t>
            </w:r>
            <w:r>
              <w:rPr>
                <w:sz w:val="22"/>
              </w:rPr>
              <w:t>deconstructs problems to determine necessary information</w:t>
            </w:r>
          </w:p>
        </w:tc>
        <w:tc>
          <w:tcPr>
            <w:tcW w:w="0" w:type="auto"/>
            <w:vMerge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</w:tc>
      </w:tr>
      <w:tr w:rsidR="009B3CD7">
        <w:tc>
          <w:tcPr>
            <w:tcW w:w="3992" w:type="dxa"/>
            <w:tcBorders>
              <w:bottom w:val="single" w:sz="4" w:space="0" w:color="000000"/>
            </w:tcBorders>
          </w:tcPr>
          <w:p w:rsidR="009B3CD7" w:rsidRDefault="002F0098">
            <w:pPr>
              <w:pStyle w:val="normal0"/>
            </w:pPr>
            <w:r>
              <w:rPr>
                <w:sz w:val="22"/>
              </w:rPr>
              <w:t>-develop the formulas for the area of a parallelogram and area of triangle using the area relationships between rectangles, parallelograms and triangles.</w:t>
            </w:r>
          </w:p>
        </w:tc>
        <w:tc>
          <w:tcPr>
            <w:tcW w:w="0" w:type="auto"/>
            <w:vMerge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</w:tc>
      </w:tr>
      <w:tr w:rsidR="009B3CD7">
        <w:tc>
          <w:tcPr>
            <w:tcW w:w="3992" w:type="dxa"/>
            <w:tcBorders>
              <w:bottom w:val="single" w:sz="4" w:space="0" w:color="000000"/>
            </w:tcBorders>
            <w:shd w:val="clear" w:color="auto" w:fill="E6E6E6"/>
          </w:tcPr>
          <w:p w:rsidR="009B3CD7" w:rsidRDefault="002F0098">
            <w:pPr>
              <w:pStyle w:val="normal0"/>
            </w:pPr>
            <w:r>
              <w:rPr>
                <w:b/>
                <w:sz w:val="28"/>
              </w:rPr>
              <w:t>Communication</w:t>
            </w:r>
          </w:p>
          <w:p w:rsidR="009B3CD7" w:rsidRDefault="009B3CD7">
            <w:pPr>
              <w:pStyle w:val="normal0"/>
            </w:pPr>
          </w:p>
          <w:p w:rsidR="009B3CD7" w:rsidRDefault="002F0098">
            <w:pPr>
              <w:pStyle w:val="normal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E6E6E6"/>
          </w:tcPr>
          <w:p w:rsidR="009B3CD7" w:rsidRDefault="009B3CD7">
            <w:pPr>
              <w:pStyle w:val="normal0"/>
              <w:jc w:val="center"/>
            </w:pPr>
          </w:p>
        </w:tc>
        <w:tc>
          <w:tcPr>
            <w:tcW w:w="1557" w:type="dxa"/>
            <w:tcBorders>
              <w:bottom w:val="single" w:sz="4" w:space="0" w:color="000000"/>
            </w:tcBorders>
            <w:shd w:val="clear" w:color="auto" w:fill="E6E6E6"/>
          </w:tcPr>
          <w:p w:rsidR="009B3CD7" w:rsidRDefault="009B3CD7">
            <w:pPr>
              <w:pStyle w:val="normal0"/>
              <w:jc w:val="center"/>
            </w:pPr>
          </w:p>
        </w:tc>
        <w:tc>
          <w:tcPr>
            <w:tcW w:w="1557" w:type="dxa"/>
            <w:tcBorders>
              <w:bottom w:val="single" w:sz="4" w:space="0" w:color="000000"/>
            </w:tcBorders>
            <w:shd w:val="clear" w:color="auto" w:fill="E6E6E6"/>
          </w:tcPr>
          <w:p w:rsidR="009B3CD7" w:rsidRDefault="009B3CD7">
            <w:pPr>
              <w:pStyle w:val="normal0"/>
              <w:jc w:val="center"/>
            </w:pP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E6E6E6"/>
          </w:tcPr>
          <w:p w:rsidR="009B3CD7" w:rsidRDefault="009B3CD7">
            <w:pPr>
              <w:pStyle w:val="normal0"/>
              <w:jc w:val="center"/>
            </w:pPr>
          </w:p>
        </w:tc>
      </w:tr>
      <w:tr w:rsidR="009B3CD7">
        <w:tc>
          <w:tcPr>
            <w:tcW w:w="3992" w:type="dxa"/>
            <w:shd w:val="clear" w:color="auto" w:fill="FFFFFF"/>
          </w:tcPr>
          <w:p w:rsidR="009B3CD7" w:rsidRDefault="002F0098">
            <w:pPr>
              <w:pStyle w:val="normal0"/>
            </w:pPr>
            <w:bookmarkStart w:id="0" w:name="h.gjdgxs" w:colFirst="0" w:colLast="0"/>
            <w:bookmarkEnd w:id="0"/>
            <w:r>
              <w:rPr>
                <w:sz w:val="22"/>
              </w:rPr>
              <w:t xml:space="preserve">- explains mathematical thinking when </w:t>
            </w:r>
            <w:r>
              <w:rPr>
                <w:sz w:val="22"/>
              </w:rPr>
              <w:t>selecting appropriate metric units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2F0098">
            <w:pPr>
              <w:pStyle w:val="normal0"/>
              <w:jc w:val="center"/>
            </w:pPr>
            <w:r>
              <w:t>Limited</w:t>
            </w:r>
          </w:p>
          <w:p w:rsidR="009B3CD7" w:rsidRDefault="002F0098">
            <w:pPr>
              <w:pStyle w:val="normal0"/>
              <w:jc w:val="center"/>
            </w:pPr>
            <w:r>
              <w:t>Effectiveness</w:t>
            </w:r>
          </w:p>
          <w:p w:rsidR="009B3CD7" w:rsidRDefault="009B3CD7">
            <w:pPr>
              <w:pStyle w:val="normal0"/>
              <w:jc w:val="center"/>
            </w:pPr>
          </w:p>
        </w:tc>
        <w:tc>
          <w:tcPr>
            <w:tcW w:w="1557" w:type="dxa"/>
            <w:vMerge w:val="restart"/>
            <w:shd w:val="clear" w:color="auto" w:fill="FFFFFF"/>
          </w:tcPr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2F0098">
            <w:pPr>
              <w:pStyle w:val="normal0"/>
              <w:jc w:val="center"/>
            </w:pPr>
            <w:r>
              <w:t>Some</w:t>
            </w:r>
          </w:p>
          <w:p w:rsidR="009B3CD7" w:rsidRDefault="002F0098">
            <w:pPr>
              <w:pStyle w:val="normal0"/>
              <w:jc w:val="center"/>
            </w:pPr>
            <w:r>
              <w:t>Effectiveness</w:t>
            </w: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</w:tc>
        <w:tc>
          <w:tcPr>
            <w:tcW w:w="1557" w:type="dxa"/>
            <w:vMerge w:val="restart"/>
            <w:shd w:val="clear" w:color="auto" w:fill="FFFFFF"/>
          </w:tcPr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2F0098">
            <w:pPr>
              <w:pStyle w:val="normal0"/>
              <w:jc w:val="center"/>
            </w:pPr>
            <w:r>
              <w:t>Considerable</w:t>
            </w:r>
          </w:p>
          <w:p w:rsidR="009B3CD7" w:rsidRDefault="002F0098">
            <w:pPr>
              <w:pStyle w:val="normal0"/>
              <w:jc w:val="center"/>
            </w:pPr>
            <w:r>
              <w:t>Effectiveness</w:t>
            </w: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</w:tc>
        <w:tc>
          <w:tcPr>
            <w:tcW w:w="1509" w:type="dxa"/>
            <w:vMerge w:val="restart"/>
            <w:shd w:val="clear" w:color="auto" w:fill="FFFFFF"/>
          </w:tcPr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2F0098">
            <w:pPr>
              <w:pStyle w:val="normal0"/>
              <w:jc w:val="center"/>
            </w:pPr>
            <w:r>
              <w:rPr>
                <w:sz w:val="22"/>
              </w:rPr>
              <w:t>High Degree of Effectiveness</w:t>
            </w: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</w:tc>
      </w:tr>
      <w:tr w:rsidR="009B3CD7">
        <w:tc>
          <w:tcPr>
            <w:tcW w:w="3992" w:type="dxa"/>
            <w:shd w:val="clear" w:color="auto" w:fill="FFFFFF"/>
          </w:tcPr>
          <w:p w:rsidR="009B3CD7" w:rsidRDefault="002F0098">
            <w:pPr>
              <w:pStyle w:val="normal0"/>
            </w:pPr>
            <w:r>
              <w:rPr>
                <w:sz w:val="22"/>
              </w:rPr>
              <w:t xml:space="preserve">- communicates using a variety </w:t>
            </w:r>
          </w:p>
          <w:p w:rsidR="009B3CD7" w:rsidRDefault="002F0098">
            <w:pPr>
              <w:pStyle w:val="normal0"/>
            </w:pPr>
            <w:r>
              <w:rPr>
                <w:sz w:val="22"/>
              </w:rPr>
              <w:t xml:space="preserve">of modes (short answers, </w:t>
            </w:r>
          </w:p>
          <w:p w:rsidR="009B3CD7" w:rsidRDefault="002F0098">
            <w:pPr>
              <w:pStyle w:val="normal0"/>
            </w:pPr>
            <w:r>
              <w:rPr>
                <w:sz w:val="22"/>
              </w:rPr>
              <w:t xml:space="preserve">lengthy explanations, verbal reports, diagrams, numerically) </w:t>
            </w:r>
          </w:p>
        </w:tc>
        <w:tc>
          <w:tcPr>
            <w:tcW w:w="0" w:type="auto"/>
            <w:vMerge/>
            <w:shd w:val="clear" w:color="auto" w:fill="FFFFFF"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</w:tc>
      </w:tr>
      <w:tr w:rsidR="009B3CD7">
        <w:tc>
          <w:tcPr>
            <w:tcW w:w="3992" w:type="dxa"/>
            <w:tcBorders>
              <w:bottom w:val="single" w:sz="4" w:space="0" w:color="000000"/>
            </w:tcBorders>
            <w:shd w:val="clear" w:color="auto" w:fill="FFFFFF"/>
          </w:tcPr>
          <w:p w:rsidR="009B3CD7" w:rsidRDefault="002F0098">
            <w:pPr>
              <w:pStyle w:val="normal0"/>
            </w:pPr>
            <w:r>
              <w:rPr>
                <w:sz w:val="22"/>
              </w:rPr>
              <w:t xml:space="preserve">- uses appropriate vocabulary </w:t>
            </w:r>
          </w:p>
          <w:p w:rsidR="009B3CD7" w:rsidRDefault="002F0098">
            <w:pPr>
              <w:pStyle w:val="normal0"/>
            </w:pPr>
            <w:r>
              <w:rPr>
                <w:sz w:val="22"/>
              </w:rPr>
              <w:t xml:space="preserve">and terminology (e.g. </w:t>
            </w:r>
            <w:r>
              <w:rPr>
                <w:sz w:val="22"/>
              </w:rPr>
              <w:t>estimate, perimeter, area, various metric units)</w:t>
            </w:r>
          </w:p>
        </w:tc>
        <w:tc>
          <w:tcPr>
            <w:tcW w:w="0" w:type="auto"/>
            <w:vMerge/>
            <w:shd w:val="clear" w:color="auto" w:fill="FFFFFF"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</w:tc>
      </w:tr>
      <w:tr w:rsidR="009B3CD7">
        <w:tc>
          <w:tcPr>
            <w:tcW w:w="3992" w:type="dxa"/>
            <w:shd w:val="clear" w:color="auto" w:fill="E6E6E6"/>
          </w:tcPr>
          <w:p w:rsidR="009B3CD7" w:rsidRDefault="002F0098">
            <w:pPr>
              <w:pStyle w:val="normal0"/>
            </w:pPr>
            <w:r>
              <w:rPr>
                <w:b/>
                <w:sz w:val="28"/>
              </w:rPr>
              <w:t>Application</w:t>
            </w:r>
          </w:p>
          <w:p w:rsidR="009B3CD7" w:rsidRDefault="009B3CD7">
            <w:pPr>
              <w:pStyle w:val="normal0"/>
            </w:pPr>
          </w:p>
          <w:p w:rsidR="009B3CD7" w:rsidRDefault="002F0098">
            <w:pPr>
              <w:pStyle w:val="normal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558" w:type="dxa"/>
            <w:shd w:val="clear" w:color="auto" w:fill="E6E6E6"/>
          </w:tcPr>
          <w:p w:rsidR="009B3CD7" w:rsidRDefault="009B3CD7">
            <w:pPr>
              <w:pStyle w:val="normal0"/>
              <w:jc w:val="center"/>
            </w:pPr>
          </w:p>
        </w:tc>
        <w:tc>
          <w:tcPr>
            <w:tcW w:w="1557" w:type="dxa"/>
            <w:shd w:val="clear" w:color="auto" w:fill="E6E6E6"/>
          </w:tcPr>
          <w:p w:rsidR="009B3CD7" w:rsidRDefault="009B3CD7">
            <w:pPr>
              <w:pStyle w:val="normal0"/>
              <w:jc w:val="center"/>
            </w:pPr>
          </w:p>
        </w:tc>
        <w:tc>
          <w:tcPr>
            <w:tcW w:w="1557" w:type="dxa"/>
            <w:shd w:val="clear" w:color="auto" w:fill="E6E6E6"/>
          </w:tcPr>
          <w:p w:rsidR="009B3CD7" w:rsidRDefault="009B3CD7">
            <w:pPr>
              <w:pStyle w:val="normal0"/>
              <w:jc w:val="center"/>
            </w:pPr>
          </w:p>
        </w:tc>
        <w:tc>
          <w:tcPr>
            <w:tcW w:w="1509" w:type="dxa"/>
            <w:shd w:val="clear" w:color="auto" w:fill="E6E6E6"/>
          </w:tcPr>
          <w:p w:rsidR="009B3CD7" w:rsidRDefault="009B3CD7">
            <w:pPr>
              <w:pStyle w:val="normal0"/>
              <w:jc w:val="center"/>
            </w:pPr>
          </w:p>
        </w:tc>
      </w:tr>
      <w:tr w:rsidR="009B3CD7">
        <w:tc>
          <w:tcPr>
            <w:tcW w:w="3992" w:type="dxa"/>
            <w:shd w:val="clear" w:color="auto" w:fill="FFFFFF"/>
          </w:tcPr>
          <w:p w:rsidR="009B3CD7" w:rsidRDefault="002F0098">
            <w:pPr>
              <w:pStyle w:val="normal0"/>
            </w:pPr>
            <w:r>
              <w:rPr>
                <w:sz w:val="22"/>
              </w:rPr>
              <w:t xml:space="preserve">- applies knowledge and skills about linear measurement to in-class assignments 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9B3CD7" w:rsidRDefault="009B3CD7">
            <w:pPr>
              <w:pStyle w:val="normal0"/>
              <w:jc w:val="center"/>
            </w:pPr>
          </w:p>
          <w:p w:rsidR="009B3CD7" w:rsidRDefault="002F0098">
            <w:pPr>
              <w:pStyle w:val="normal0"/>
              <w:jc w:val="center"/>
            </w:pPr>
            <w:r>
              <w:t>Limited</w:t>
            </w:r>
          </w:p>
          <w:p w:rsidR="009B3CD7" w:rsidRDefault="002F0098">
            <w:pPr>
              <w:pStyle w:val="normal0"/>
              <w:jc w:val="center"/>
            </w:pPr>
            <w:r>
              <w:t>Effectiveness</w:t>
            </w: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</w:tc>
        <w:tc>
          <w:tcPr>
            <w:tcW w:w="1557" w:type="dxa"/>
            <w:vMerge w:val="restart"/>
            <w:shd w:val="clear" w:color="auto" w:fill="FFFFFF"/>
          </w:tcPr>
          <w:p w:rsidR="009B3CD7" w:rsidRDefault="009B3CD7">
            <w:pPr>
              <w:pStyle w:val="normal0"/>
              <w:jc w:val="center"/>
            </w:pPr>
          </w:p>
          <w:p w:rsidR="009B3CD7" w:rsidRDefault="002F0098">
            <w:pPr>
              <w:pStyle w:val="normal0"/>
              <w:jc w:val="center"/>
            </w:pPr>
            <w:r>
              <w:t>Some</w:t>
            </w:r>
          </w:p>
          <w:p w:rsidR="009B3CD7" w:rsidRDefault="002F0098">
            <w:pPr>
              <w:pStyle w:val="normal0"/>
              <w:jc w:val="center"/>
            </w:pPr>
            <w:r>
              <w:t>Effectiveness</w:t>
            </w: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</w:tc>
        <w:tc>
          <w:tcPr>
            <w:tcW w:w="1557" w:type="dxa"/>
            <w:vMerge w:val="restart"/>
            <w:shd w:val="clear" w:color="auto" w:fill="FFFFFF"/>
          </w:tcPr>
          <w:p w:rsidR="009B3CD7" w:rsidRDefault="009B3CD7">
            <w:pPr>
              <w:pStyle w:val="normal0"/>
              <w:jc w:val="center"/>
            </w:pPr>
          </w:p>
          <w:p w:rsidR="009B3CD7" w:rsidRDefault="002F0098">
            <w:pPr>
              <w:pStyle w:val="normal0"/>
              <w:jc w:val="center"/>
            </w:pPr>
            <w:r>
              <w:t>Considerable</w:t>
            </w:r>
          </w:p>
          <w:p w:rsidR="009B3CD7" w:rsidRDefault="002F0098">
            <w:pPr>
              <w:pStyle w:val="normal0"/>
              <w:jc w:val="center"/>
            </w:pPr>
            <w:r>
              <w:t>Effectiveness</w:t>
            </w: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</w:tc>
        <w:tc>
          <w:tcPr>
            <w:tcW w:w="1509" w:type="dxa"/>
            <w:vMerge w:val="restart"/>
            <w:shd w:val="clear" w:color="auto" w:fill="FFFFFF"/>
          </w:tcPr>
          <w:p w:rsidR="009B3CD7" w:rsidRDefault="009B3CD7">
            <w:pPr>
              <w:pStyle w:val="normal0"/>
              <w:jc w:val="center"/>
            </w:pPr>
          </w:p>
          <w:p w:rsidR="009B3CD7" w:rsidRDefault="002F0098">
            <w:pPr>
              <w:pStyle w:val="normal0"/>
              <w:jc w:val="center"/>
            </w:pPr>
            <w:r>
              <w:rPr>
                <w:sz w:val="22"/>
              </w:rPr>
              <w:t>High Degree</w:t>
            </w:r>
          </w:p>
          <w:p w:rsidR="009B3CD7" w:rsidRDefault="002F0098">
            <w:pPr>
              <w:pStyle w:val="normal0"/>
              <w:jc w:val="center"/>
            </w:pPr>
            <w:r>
              <w:rPr>
                <w:sz w:val="22"/>
              </w:rPr>
              <w:t>Of Effectiveness</w:t>
            </w:r>
          </w:p>
          <w:p w:rsidR="009B3CD7" w:rsidRDefault="009B3CD7">
            <w:pPr>
              <w:pStyle w:val="normal0"/>
              <w:jc w:val="center"/>
            </w:pPr>
          </w:p>
        </w:tc>
      </w:tr>
      <w:tr w:rsidR="009B3CD7">
        <w:tc>
          <w:tcPr>
            <w:tcW w:w="3992" w:type="dxa"/>
            <w:shd w:val="clear" w:color="auto" w:fill="FFFFFF"/>
          </w:tcPr>
          <w:p w:rsidR="009B3CD7" w:rsidRDefault="002F0098">
            <w:pPr>
              <w:pStyle w:val="normal0"/>
            </w:pPr>
            <w:r>
              <w:rPr>
                <w:sz w:val="22"/>
              </w:rPr>
              <w:t xml:space="preserve">- transfers knowledge and skills about linear measurement to new contexts </w:t>
            </w:r>
          </w:p>
          <w:p w:rsidR="009B3CD7" w:rsidRDefault="002F0098">
            <w:pPr>
              <w:pStyle w:val="normal0"/>
            </w:pPr>
            <w:r>
              <w:rPr>
                <w:sz w:val="22"/>
              </w:rPr>
              <w:t>(e.</w:t>
            </w:r>
            <w:r>
              <w:rPr>
                <w:sz w:val="22"/>
              </w:rPr>
              <w:t>g. homework, creating new word problems)</w:t>
            </w:r>
          </w:p>
        </w:tc>
        <w:tc>
          <w:tcPr>
            <w:tcW w:w="0" w:type="auto"/>
            <w:vMerge/>
            <w:shd w:val="clear" w:color="auto" w:fill="FFFFFF"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</w:tc>
      </w:tr>
      <w:tr w:rsidR="009B3CD7">
        <w:tc>
          <w:tcPr>
            <w:tcW w:w="3992" w:type="dxa"/>
            <w:shd w:val="clear" w:color="auto" w:fill="FFFFFF"/>
          </w:tcPr>
          <w:p w:rsidR="009B3CD7" w:rsidRDefault="002F0098">
            <w:pPr>
              <w:pStyle w:val="normal0"/>
            </w:pPr>
            <w:r>
              <w:rPr>
                <w:sz w:val="22"/>
              </w:rPr>
              <w:t>- makes connections between a variety of real life situations where linear measurement occurs</w:t>
            </w:r>
          </w:p>
        </w:tc>
        <w:tc>
          <w:tcPr>
            <w:tcW w:w="0" w:type="auto"/>
            <w:vMerge/>
            <w:shd w:val="clear" w:color="auto" w:fill="FFFFFF"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widowControl w:val="0"/>
              <w:spacing w:line="276" w:lineRule="auto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  <w:p w:rsidR="009B3CD7" w:rsidRDefault="009B3CD7">
            <w:pPr>
              <w:pStyle w:val="normal0"/>
              <w:jc w:val="center"/>
            </w:pPr>
          </w:p>
        </w:tc>
      </w:tr>
    </w:tbl>
    <w:p w:rsidR="009B3CD7" w:rsidRDefault="009B3CD7">
      <w:pPr>
        <w:pStyle w:val="normal0"/>
      </w:pPr>
    </w:p>
    <w:sectPr w:rsidR="009B3CD7" w:rsidSect="009B3CD7">
      <w:pgSz w:w="12240" w:h="15840"/>
      <w:pgMar w:top="907" w:right="1247" w:bottom="907" w:left="1247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9B3CD7"/>
    <w:rsid w:val="002F0098"/>
    <w:rsid w:val="009B3CD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9B3CD7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9B3CD7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9B3CD7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9B3CD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9B3CD7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9B3CD7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9B3CD7"/>
  </w:style>
  <w:style w:type="paragraph" w:styleId="Title">
    <w:name w:val="Title"/>
    <w:basedOn w:val="normal0"/>
    <w:next w:val="normal0"/>
    <w:rsid w:val="009B3CD7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9B3C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9B3CD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Macintosh Word</Application>
  <DocSecurity>0</DocSecurity>
  <Lines>13</Lines>
  <Paragraphs>3</Paragraphs>
  <ScaleCrop>false</ScaleCrop>
  <Company>TDSB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TDSB</cp:lastModifiedBy>
  <cp:revision>2</cp:revision>
  <dcterms:created xsi:type="dcterms:W3CDTF">2015-05-28T14:59:00Z</dcterms:created>
  <dcterms:modified xsi:type="dcterms:W3CDTF">2015-05-28T14:59:00Z</dcterms:modified>
</cp:coreProperties>
</file>