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Creative Process:</w:t>
      </w:r>
      <w:r w:rsidDel="00000000" w:rsidR="00000000" w:rsidRPr="00000000">
        <w:rPr>
          <w:sz w:val="28"/>
          <w:szCs w:val="28"/>
          <w:rtl w:val="0"/>
        </w:rPr>
        <w:t xml:space="preserve"> apply the stages of the creative process when performing notated and/or improvised music and composing and/or arranging music; </w:t>
      </w:r>
    </w:p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Image source: </w:t>
      </w:r>
      <w:hyperlink r:id="rId5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Ontario Curriculum, The Arts, 2010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drawing>
          <wp:inline distB="0" distT="0" distL="0" distR="0">
            <wp:extent cx="6642393" cy="705326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2393" cy="7053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-171449</wp:posOffset>
            </wp:positionH>
            <wp:positionV relativeFrom="paragraph">
              <wp:posOffset>0</wp:posOffset>
            </wp:positionV>
            <wp:extent cx="7343913" cy="6334125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43913" cy="6334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sz w:val="28"/>
          <w:szCs w:val="28"/>
          <w:rtl w:val="0"/>
        </w:rPr>
        <w:t xml:space="preserve">Source: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Ontario Curriculum, The Arts, 2010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5" Type="http://schemas.openxmlformats.org/officeDocument/2006/relationships/hyperlink" Target="http://www.edu.gov.on.ca/eng/curriculum/secondary/arts910curr2010.pdf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hyperlink" Target="http://www.edu.gov.on.ca/eng/curriculum/secondary/arts910curr2010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