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Critical Analysis Process: </w:t>
      </w:r>
      <w:r w:rsidDel="00000000" w:rsidR="00000000" w:rsidRPr="00000000">
        <w:rPr>
          <w:sz w:val="28"/>
          <w:szCs w:val="28"/>
          <w:rtl w:val="0"/>
        </w:rPr>
        <w:t xml:space="preserve">use the critical analysis process when responding to, analysing, reflecting on, and interpreting music;</w:t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-247649</wp:posOffset>
            </wp:positionH>
            <wp:positionV relativeFrom="paragraph">
              <wp:posOffset>28575</wp:posOffset>
            </wp:positionV>
            <wp:extent cx="6858000" cy="636571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657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Image source: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Ontario Curriculum, The Arts, 2010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yperlink" Target="http://www.edu.gov.on.ca/eng/curriculum/secondary/arts910curr2010.pdf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