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Techniques and Technology:</w:t>
      </w:r>
      <w:r w:rsidDel="00000000" w:rsidR="00000000" w:rsidRPr="00000000">
        <w:rPr>
          <w:rtl w:val="0"/>
        </w:rPr>
        <w:t xml:space="preserve"> use a variety of techniques and technological tools when performing music and composing and/or arranging music.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1950"/>
        <w:gridCol w:w="1965"/>
        <w:gridCol w:w="1800"/>
        <w:gridCol w:w="1875"/>
        <w:tblGridChange w:id="0">
          <w:tblGrid>
            <w:gridCol w:w="3390"/>
            <w:gridCol w:w="1950"/>
            <w:gridCol w:w="1965"/>
            <w:gridCol w:w="1800"/>
            <w:gridCol w:w="18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380" w:hRule="atLeast"/>
        </w:trPr>
        <w:tc>
          <w:tcPr>
            <w:gridSpan w:val="5"/>
            <w:shd w:fill="c9daf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Application – The use of knowledge and skills to make connections within and between various contexts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Application of knowledge and skills</w:t>
              <w:tab/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performance skills, composition, elements, technologies, techniques, strategies)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 familiar contexts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performance of a familiar work or guided exercise)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use techniques when playing or composing music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use technology to self-assess my progress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knowledge and skills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in familiar contexts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fluency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knowledge and skills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in familiar contexts with considerable fluency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knowledge and skills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in familiar contexts with some fluency 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limited fluency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 of knowledge and skills</w:t>
              <w:tab/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concepts, strategies, techniques)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to new contexts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a work requiring stylistic variation, an original composition)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transfer techniques into a variety of musical works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transfers knowledge and skills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new contexts with a high degree of flexibility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transfers knowledge and skills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new contexts with considerable flexibility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transfers knowledge and skills to new contexts with some flexibility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transfers knowledge and skills to new contexts with limited flexibility 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Making connections within and between various contexts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between the arts; between culture and history)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make connections between techniques and different styles of music (cultural, historical, genre)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make connections between techniques and different art forms (eg. dance)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makes connections within and between various contexts with a high degree of depth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makes connections within and between various contexts with considerable depth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makes connections within and between various contexts with some depth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makes connections within and between various contexts with limited depth 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Fluency → </w:t>
      </w:r>
      <w:r w:rsidDel="00000000" w:rsidR="00000000" w:rsidRPr="00000000">
        <w:rPr>
          <w:rtl w:val="0"/>
        </w:rPr>
        <w:t xml:space="preserve">ease of use, flawless, seamless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Flexibility → able to change according to the situation; accommodating; r</w:t>
      </w:r>
      <w:r w:rsidDel="00000000" w:rsidR="00000000" w:rsidRPr="00000000">
        <w:rPr>
          <w:color w:val="222222"/>
          <w:highlight w:val="white"/>
          <w:rtl w:val="0"/>
        </w:rPr>
        <w:t xml:space="preserve">eady and able to change so as to adapt to different circumstances.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Depth → </w:t>
      </w:r>
      <w:r w:rsidDel="00000000" w:rsidR="00000000" w:rsidRPr="00000000">
        <w:rPr>
          <w:rtl w:val="0"/>
        </w:rPr>
        <w:t xml:space="preserve">amount of support/evidence;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33333"/>
          <w:rtl w:val="0"/>
        </w:rPr>
        <w:t xml:space="preserve">pushing the boundaries of human knowledge; building knowledge</w:t>
      </w: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