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Skills and Personal Growth:</w:t>
      </w:r>
      <w:r w:rsidDel="00000000" w:rsidR="00000000" w:rsidRPr="00000000">
        <w:rPr>
          <w:rtl w:val="0"/>
        </w:rPr>
        <w:t xml:space="preserve"> demonstrate an understanding of how performing, creating, and critically analysing music has affected their skills and personal development;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facts, genres, terms, definitions, techniques, elements, principles, forms, structures, conventions)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/>
              <w:spacing w:line="240" w:lineRule="auto"/>
              <w:ind w:left="720" w:hanging="360"/>
              <w:contextualSpacing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identify how music has affected my personal development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ideas, styles, procedures, processes, themes, relationships among elements, informed opinions)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/>
              <w:spacing w:line="240" w:lineRule="auto"/>
              <w:ind w:left="720" w:hanging="360"/>
              <w:contextualSpacing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I can describe how personal skills contribute to the completion of individual and collaborative music tasks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Thinking – The use of critical and creative thinking skills and/or processes </w:t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processing skills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analysing, evaluating, inferring, interpreting, editing, revising, refining, forming conclusions, detecting bias, synthesizing)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and reflect on the development of my musical skills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significance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significance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significance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processing skills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significance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ab/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critical/creative thinking processes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creative and analytical processes, design process, exploration of the elements, problem solving, reflection, elaboration, oral discourse, evaluation, critical literacy, metacognition, invention, critiquing, reviewing)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reflect on my work identify main areas I will focus on for improvement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high degree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critical/ creative thinking processes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relevance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 – The conveying of meaning through various forms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Expression and organization of ideas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 oral and written forms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clear expression and logical organization of student reflections)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organize and communicate ideas related to my personal growth.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clarity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of musical conventions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vocabulary and terminology in oral and written forms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use musical terms when communicating ideas related to my personal growth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uses conventions, vocabulary, and terminology of the arts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