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Connections Beyond the Classroom:</w:t>
      </w:r>
      <w:r w:rsidDel="00000000" w:rsidR="00000000" w:rsidRPr="00000000">
        <w:rPr>
          <w:rtl w:val="0"/>
        </w:rPr>
        <w:t xml:space="preserve"> identify and describe various opportunities for continued engagement in music.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1950"/>
        <w:gridCol w:w="1965"/>
        <w:gridCol w:w="1800"/>
        <w:gridCol w:w="1695"/>
        <w:tblGridChange w:id="0">
          <w:tblGrid>
            <w:gridCol w:w="3390"/>
            <w:gridCol w:w="1950"/>
            <w:gridCol w:w="1965"/>
            <w:gridCol w:w="1800"/>
            <w:gridCol w:w="1695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rPr>
          <w:trHeight w:val="420" w:hRule="atLeast"/>
        </w:trPr>
        <w:tc>
          <w:tcPr>
            <w:gridSpan w:val="5"/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and Understanding – Subject-specific content acquired in each grade (knowledge), and the comprehension of its meaning and significance (understanding)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Knowledge of content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facts, genres, terms, definitions, techniques, elements, principles, forms, structures, conventions)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describe careers related to music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describe educational opportunities related to music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thorough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considerable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some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limited knowledge of content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Understanding of content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concepts, ideas, styles, procedures, processes, themes, relationships among elements, informed opinions)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find opportunities and describe the benefits of participating in music activities outside of class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thorough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considerable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some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limited understanding of content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Communication – The conveying of meaning through various forms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Communication for different audiences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peers, adults, younger children)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and purposes through the arts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drama presentations, visual arts exhibitions, media installations, dance and music performances)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and in oral and written forms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debates, analyses)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communicate my understanding of music careers and educational opportunities to different audiences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communicates for different audiences and purposes with a high degree of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appropriateness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communicates for different audiences and purposes with considerable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appropriateness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communicates for different audiences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 purposes with some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appropriateness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communicates for different audiences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 purposes with limited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appropriateness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Link to Google Drive resources: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http://bit.ly/2r04VHk</w:t>
      </w:r>
    </w:hyperlink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bit.ly/2r04VHk" TargetMode="External"/></Relationships>
</file>