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Theory and Terminology:</w:t>
      </w:r>
      <w:r w:rsidDel="00000000" w:rsidR="00000000" w:rsidRPr="00000000">
        <w:rPr>
          <w:rtl w:val="0"/>
        </w:rPr>
        <w:t xml:space="preserve"> demonstrate an understanding of music theory with respect to concepts of notation and the elements and other components of music, and use appropriate terminology relating to them;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genres, terms, definitions, techniques, elements, principles, forms, structures, conventions)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define theoretical concepts such as standard notation, rhythmic values, form, scale construction, ear training and sight reading.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ideas, styles, procedures, processes, themes, relationships among elements)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understand the use of theoretical concepts when analysing or reading music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Communication – The conveying of meaning through various forms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conventions in music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(standard notation, rhythmic conventions, 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musical vocabulary and terminology in oral and written forms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use theoretical concepts when discussing and describing music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38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Application – The use of knowledge and skills to make connections within and between various contexts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Application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performance skills, composition, techniques, strategies, conventions)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 familiar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guided improvisation, performance of a familiar work, use of familiar forms)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theoretical concepts in my written work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applies knowledge and skills in familiar contexts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 of knowledge and skills</w:t>
              <w:tab/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strategies, techniques)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a work requiring stylistic variation, an original composition)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use theoretical concepts and conventions when writing music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new contexts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 to new contexts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transfers knowledge and skills to new contexts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flexibility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