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Calibri" w:cs="Calibri" w:eastAsia="Calibri" w:hAnsi="Calibri"/>
          <w:b w:val="1"/>
          <w:sz w:val="32"/>
          <w:szCs w:val="32"/>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32"/>
          <w:szCs w:val="32"/>
          <w:u w:val="single"/>
          <w:vertAlign w:val="baseline"/>
        </w:rPr>
      </w:pPr>
      <w:r w:rsidDel="00000000" w:rsidR="00000000" w:rsidRPr="00000000">
        <w:rPr>
          <w:rFonts w:ascii="Calibri" w:cs="Calibri" w:eastAsia="Calibri" w:hAnsi="Calibri"/>
          <w:b w:val="1"/>
          <w:sz w:val="32"/>
          <w:szCs w:val="32"/>
          <w:u w:val="single"/>
          <w:rtl w:val="0"/>
        </w:rPr>
        <w:t xml:space="preserve">Sustainability/Liveability </w:t>
      </w:r>
      <w:r w:rsidDel="00000000" w:rsidR="00000000" w:rsidRPr="00000000">
        <w:rPr>
          <w:rFonts w:ascii="Calibri" w:cs="Calibri" w:eastAsia="Calibri" w:hAnsi="Calibri"/>
          <w:b w:val="1"/>
          <w:sz w:val="32"/>
          <w:szCs w:val="32"/>
          <w:u w:val="single"/>
          <w:vertAlign w:val="baseline"/>
          <w:rtl w:val="0"/>
        </w:rPr>
        <w:t xml:space="preserve">Inquiry Model </w:t>
      </w:r>
      <w:r w:rsidDel="00000000" w:rsidR="00000000" w:rsidRPr="00000000">
        <w:rPr>
          <w:rFonts w:ascii="Calibri" w:cs="Calibri" w:eastAsia="Calibri" w:hAnsi="Calibri"/>
          <w:b w:val="1"/>
          <w:sz w:val="32"/>
          <w:szCs w:val="32"/>
          <w:u w:val="single"/>
          <w:rtl w:val="0"/>
        </w:rPr>
        <w:t xml:space="preserve">Exemplar</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History, Geography, Anthropology, Sociology, and Psychology all follow a process of inquiry (an investigation that follows a formal procedure). This process can lead to answers for questions about people and the world around us.</w:t>
      </w:r>
    </w:p>
    <w:p w:rsidR="00000000" w:rsidDel="00000000" w:rsidP="00000000" w:rsidRDefault="00000000" w:rsidRPr="00000000">
      <w:pPr>
        <w:pBd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There are five steps to the </w:t>
      </w:r>
      <w:r w:rsidDel="00000000" w:rsidR="00000000" w:rsidRPr="00000000">
        <w:rPr>
          <w:rFonts w:ascii="Calibri" w:cs="Calibri" w:eastAsia="Calibri" w:hAnsi="Calibri"/>
          <w:b w:val="1"/>
          <w:vertAlign w:val="baseline"/>
          <w:rtl w:val="0"/>
        </w:rPr>
        <w:t xml:space="preserve">Inquiry Model</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pPr>
        <w:pBdr/>
        <w:contextualSpacing w:val="0"/>
        <w:rPr>
          <w:rFonts w:ascii="Calibri" w:cs="Calibri" w:eastAsia="Calibri" w:hAnsi="Calibri"/>
          <w:vertAlign w:val="baseline"/>
        </w:rPr>
      </w:pPr>
      <w:r w:rsidDel="00000000" w:rsidR="00000000" w:rsidRPr="00000000">
        <w:rPr>
          <w:rtl w:val="0"/>
        </w:rPr>
      </w:r>
    </w:p>
    <w:tbl>
      <w:tblPr>
        <w:tblStyle w:val="Table1"/>
        <w:bidiVisual w:val="0"/>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0"/>
        <w:tblGridChange w:id="0">
          <w:tblGrid>
            <w:gridCol w:w="9240"/>
          </w:tblGrid>
        </w:tblGridChange>
      </w:tblGrid>
      <w:tr>
        <w:trPr>
          <w:trHeight w:val="1020" w:hRule="atLeast"/>
        </w:trPr>
        <w:tc>
          <w:tcPr/>
          <w:p w:rsidR="00000000" w:rsidDel="00000000" w:rsidP="00000000" w:rsidRDefault="00000000" w:rsidRPr="00000000">
            <w:pPr>
              <w:widowControl w:val="0"/>
              <w:pBd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Formulate Questions</w:t>
            </w:r>
          </w:p>
          <w:p w:rsidR="00000000" w:rsidDel="00000000" w:rsidP="00000000" w:rsidRDefault="00000000" w:rsidRPr="00000000">
            <w:pPr>
              <w:widowControl w:val="0"/>
              <w:pBdr/>
              <w:contextualSpacing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Formulate questions related to the applicable overall expectation in order to identify the </w:t>
            </w:r>
          </w:p>
          <w:p w:rsidR="00000000" w:rsidDel="00000000" w:rsidP="00000000" w:rsidRDefault="00000000" w:rsidRPr="00000000">
            <w:pPr>
              <w:widowControl w:val="0"/>
              <w:pBdr/>
              <w:contextualSpacing w:val="0"/>
              <w:jc w:val="center"/>
              <w:rPr>
                <w:rFonts w:ascii="Calibri" w:cs="Calibri" w:eastAsia="Calibri" w:hAnsi="Calibri"/>
                <w:b w:val="0"/>
                <w:vertAlign w:val="baseline"/>
              </w:rPr>
            </w:pPr>
            <w:r w:rsidDel="00000000" w:rsidR="00000000" w:rsidRPr="00000000">
              <w:rPr>
                <w:rFonts w:ascii="Arial" w:cs="Arial" w:eastAsia="Arial" w:hAnsi="Arial"/>
                <w:sz w:val="20"/>
                <w:szCs w:val="20"/>
                <w:rtl w:val="0"/>
              </w:rPr>
              <w:t xml:space="preserve">focus of their inquiry.</w:t>
            </w:r>
            <w:r w:rsidDel="00000000" w:rsidR="00000000" w:rsidRPr="00000000">
              <w:rPr>
                <w:rtl w:val="0"/>
              </w:rPr>
            </w:r>
          </w:p>
        </w:tc>
      </w:tr>
      <w:tr>
        <w:trPr>
          <w:trHeight w:val="1020" w:hRule="atLeast"/>
        </w:trPr>
        <w:tc>
          <w:tcPr/>
          <w:p w:rsidR="00000000" w:rsidDel="00000000" w:rsidP="00000000" w:rsidRDefault="00000000" w:rsidRPr="00000000">
            <w:pPr>
              <w:widowControl w:val="0"/>
              <w:pBd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Gather and Organize</w:t>
            </w:r>
          </w:p>
          <w:p w:rsidR="00000000" w:rsidDel="00000000" w:rsidP="00000000" w:rsidRDefault="00000000" w:rsidRPr="00000000">
            <w:pPr>
              <w:widowControl w:val="0"/>
              <w:pBdr/>
              <w:contextualSpacing w:val="0"/>
              <w:jc w:val="center"/>
              <w:rPr>
                <w:rFonts w:ascii="Calibri" w:cs="Calibri" w:eastAsia="Calibri" w:hAnsi="Calibri"/>
              </w:rPr>
            </w:pPr>
            <w:r w:rsidDel="00000000" w:rsidR="00000000" w:rsidRPr="00000000">
              <w:rPr>
                <w:rFonts w:ascii="Arial" w:cs="Arial" w:eastAsia="Arial" w:hAnsi="Arial"/>
                <w:sz w:val="20"/>
                <w:szCs w:val="20"/>
                <w:rtl w:val="0"/>
              </w:rPr>
              <w:t xml:space="preserve">Collect and organize relevant data, evidence, and/or information from primary and secondary sources and/or field studies</w:t>
            </w:r>
            <w:r w:rsidDel="00000000" w:rsidR="00000000" w:rsidRPr="00000000">
              <w:rPr>
                <w:rtl w:val="0"/>
              </w:rPr>
            </w:r>
          </w:p>
        </w:tc>
      </w:tr>
      <w:tr>
        <w:trPr>
          <w:trHeight w:val="840" w:hRule="atLeast"/>
        </w:trPr>
        <w:tc>
          <w:tcPr/>
          <w:p w:rsidR="00000000" w:rsidDel="00000000" w:rsidP="00000000" w:rsidRDefault="00000000" w:rsidRPr="00000000">
            <w:pPr>
              <w:widowControl w:val="0"/>
              <w:pBd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Interpret and Analyse</w:t>
            </w:r>
          </w:p>
          <w:p w:rsidR="00000000" w:rsidDel="00000000" w:rsidP="00000000" w:rsidRDefault="00000000" w:rsidRPr="00000000">
            <w:pPr>
              <w:pBdr/>
              <w:contextualSpacing w:val="0"/>
              <w:jc w:val="center"/>
              <w:rPr>
                <w:rFonts w:ascii="Calibri" w:cs="Calibri" w:eastAsia="Calibri" w:hAnsi="Calibri"/>
                <w:b w:val="0"/>
                <w:vertAlign w:val="baseline"/>
              </w:rPr>
            </w:pPr>
            <w:r w:rsidDel="00000000" w:rsidR="00000000" w:rsidRPr="00000000">
              <w:rPr>
                <w:rFonts w:ascii="Arial" w:cs="Arial" w:eastAsia="Arial" w:hAnsi="Arial"/>
                <w:sz w:val="20"/>
                <w:szCs w:val="20"/>
                <w:rtl w:val="0"/>
              </w:rPr>
              <w:t xml:space="preserve">Analyse the data, evidence, and information, using graphic organizers as appropriate</w:t>
            </w:r>
            <w:r w:rsidDel="00000000" w:rsidR="00000000" w:rsidRPr="00000000">
              <w:rPr>
                <w:rtl w:val="0"/>
              </w:rPr>
            </w:r>
          </w:p>
        </w:tc>
      </w:tr>
      <w:tr>
        <w:trPr>
          <w:trHeight w:val="1300" w:hRule="atLeast"/>
        </w:trPr>
        <w:tc>
          <w:tcPr/>
          <w:p w:rsidR="00000000" w:rsidDel="00000000" w:rsidP="00000000" w:rsidRDefault="00000000" w:rsidRPr="00000000">
            <w:pPr>
              <w:widowControl w:val="0"/>
              <w:pBd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Evaluate and </w:t>
            </w:r>
          </w:p>
          <w:p w:rsidR="00000000" w:rsidDel="00000000" w:rsidP="00000000" w:rsidRDefault="00000000" w:rsidRPr="00000000">
            <w:pPr>
              <w:widowControl w:val="0"/>
              <w:pBd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Draw Conclusions</w:t>
            </w:r>
          </w:p>
          <w:p w:rsidR="00000000" w:rsidDel="00000000" w:rsidP="00000000" w:rsidRDefault="00000000" w:rsidRPr="00000000">
            <w:pPr>
              <w:widowControl w:val="0"/>
              <w:pBdr/>
              <w:contextualSpacing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Synthesize data, evidence, and/or information, and make informed, critical judgements based on </w:t>
            </w:r>
          </w:p>
          <w:p w:rsidR="00000000" w:rsidDel="00000000" w:rsidP="00000000" w:rsidRDefault="00000000" w:rsidRPr="00000000">
            <w:pPr>
              <w:widowControl w:val="0"/>
              <w:pBdr/>
              <w:contextualSpacing w:val="0"/>
              <w:jc w:val="center"/>
              <w:rPr>
                <w:rFonts w:ascii="Calibri" w:cs="Calibri" w:eastAsia="Calibri" w:hAnsi="Calibri"/>
              </w:rPr>
            </w:pPr>
            <w:r w:rsidDel="00000000" w:rsidR="00000000" w:rsidRPr="00000000">
              <w:rPr>
                <w:rFonts w:ascii="Arial" w:cs="Arial" w:eastAsia="Arial" w:hAnsi="Arial"/>
                <w:sz w:val="20"/>
                <w:szCs w:val="20"/>
                <w:rtl w:val="0"/>
              </w:rPr>
              <w:t xml:space="preserve">that data, evidence, and/or information</w:t>
            </w:r>
            <w:r w:rsidDel="00000000" w:rsidR="00000000" w:rsidRPr="00000000">
              <w:rPr>
                <w:rtl w:val="0"/>
              </w:rPr>
            </w:r>
          </w:p>
        </w:tc>
      </w:tr>
      <w:tr>
        <w:trPr>
          <w:trHeight w:val="1020" w:hRule="atLeast"/>
        </w:trPr>
        <w:tc>
          <w:tcPr/>
          <w:p w:rsidR="00000000" w:rsidDel="00000000" w:rsidP="00000000" w:rsidRDefault="00000000" w:rsidRPr="00000000">
            <w:pPr>
              <w:widowControl w:val="0"/>
              <w:pBd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Communicate</w:t>
            </w:r>
          </w:p>
          <w:p w:rsidR="00000000" w:rsidDel="00000000" w:rsidP="00000000" w:rsidRDefault="00000000" w:rsidRPr="00000000">
            <w:pPr>
              <w:widowControl w:val="0"/>
              <w:pBdr/>
              <w:contextualSpacing w:val="0"/>
              <w:jc w:val="center"/>
              <w:rPr>
                <w:rFonts w:ascii="Calibri" w:cs="Calibri" w:eastAsia="Calibri" w:hAnsi="Calibri"/>
              </w:rPr>
            </w:pPr>
            <w:r w:rsidDel="00000000" w:rsidR="00000000" w:rsidRPr="00000000">
              <w:rPr>
                <w:rFonts w:ascii="Arial" w:cs="Arial" w:eastAsia="Arial" w:hAnsi="Arial"/>
                <w:sz w:val="20"/>
                <w:szCs w:val="20"/>
                <w:rtl w:val="0"/>
              </w:rPr>
              <w:t xml:space="preserve">Communicate judgements, decisions, conclusions, predictions, and/or plans of action clearly and logically</w:t>
            </w: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sz w:val="28"/>
          <w:szCs w:val="28"/>
        </w:rPr>
      </w:pPr>
      <w:r w:rsidDel="00000000" w:rsidR="00000000" w:rsidRPr="00000000">
        <w:rPr>
          <w:rFonts w:ascii="Arial" w:cs="Arial" w:eastAsia="Arial" w:hAnsi="Arial"/>
          <w:b w:val="1"/>
          <w:sz w:val="28"/>
          <w:szCs w:val="28"/>
          <w:rtl w:val="0"/>
        </w:rPr>
        <w:t xml:space="preserve">Example: </w:t>
      </w:r>
      <w:r w:rsidDel="00000000" w:rsidR="00000000" w:rsidRPr="00000000">
        <w:rPr>
          <w:rFonts w:ascii="Arial" w:cs="Arial" w:eastAsia="Arial" w:hAnsi="Arial"/>
          <w:color w:val="ff0000"/>
          <w:sz w:val="28"/>
          <w:szCs w:val="28"/>
          <w:rtl w:val="0"/>
        </w:rPr>
        <w:t xml:space="preserve">Canada’s natural resources </w:t>
      </w:r>
      <w:r w:rsidDel="00000000" w:rsidR="00000000" w:rsidRPr="00000000">
        <w:rPr>
          <w:rFonts w:ascii="Arial" w:cs="Arial" w:eastAsia="Arial" w:hAnsi="Arial"/>
          <w:sz w:val="28"/>
          <w:szCs w:val="28"/>
          <w:rtl w:val="0"/>
        </w:rPr>
        <w:t xml:space="preserve"> </w:t>
      </w:r>
    </w:p>
    <w:p w:rsidR="00000000" w:rsidDel="00000000" w:rsidP="00000000" w:rsidRDefault="00000000" w:rsidRPr="00000000">
      <w:pPr>
        <w:pBdr/>
        <w:ind w:left="720" w:hanging="720"/>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sz w:val="22"/>
          <w:szCs w:val="22"/>
        </w:rPr>
      </w:pPr>
      <w:r w:rsidDel="00000000" w:rsidR="00000000" w:rsidRPr="00000000">
        <w:rPr>
          <w:rFonts w:ascii="Arial" w:cs="Arial" w:eastAsia="Arial" w:hAnsi="Arial"/>
          <w:b w:val="1"/>
          <w:sz w:val="28"/>
          <w:szCs w:val="28"/>
          <w:rtl w:val="0"/>
        </w:rPr>
        <w:t xml:space="preserve">Formulate Question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Use the framing questions as a starting point.</w:t>
      </w:r>
    </w:p>
    <w:p w:rsidR="00000000" w:rsidDel="00000000" w:rsidP="00000000" w:rsidRDefault="00000000" w:rsidRPr="00000000">
      <w:pPr>
        <w:pBdr/>
        <w:ind w:left="720" w:hanging="720"/>
        <w:contextualSpacing w:val="0"/>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rtl w:val="0"/>
        </w:rPr>
        <w:t xml:space="preserve">Which resources and industries would you consider to be most valuable to Canada?</w:t>
      </w:r>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sz w:val="22"/>
          <w:szCs w:val="22"/>
        </w:rPr>
      </w:pPr>
      <w:r w:rsidDel="00000000" w:rsidR="00000000" w:rsidRPr="00000000">
        <w:rPr>
          <w:rFonts w:ascii="Arial" w:cs="Arial" w:eastAsia="Arial" w:hAnsi="Arial"/>
          <w:b w:val="1"/>
          <w:sz w:val="28"/>
          <w:szCs w:val="28"/>
          <w:rtl w:val="0"/>
        </w:rPr>
        <w:t xml:space="preserve">Gather and Organize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students will actively pursue specific information that will be</w:t>
      </w:r>
    </w:p>
    <w:p w:rsidR="00000000" w:rsidDel="00000000" w:rsidP="00000000" w:rsidRDefault="00000000" w:rsidRPr="00000000">
      <w:pPr>
        <w:pBdr/>
        <w:ind w:left="720" w:hanging="7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used to answer the framing question.</w:t>
      </w:r>
    </w:p>
    <w:p w:rsidR="00000000" w:rsidDel="00000000" w:rsidP="00000000" w:rsidRDefault="00000000" w:rsidRPr="00000000">
      <w:pPr>
        <w:pBdr/>
        <w:ind w:left="720" w:hanging="7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Canadian industries   </w:t>
      </w:r>
      <w:hyperlink r:id="rId5">
        <w:r w:rsidDel="00000000" w:rsidR="00000000" w:rsidRPr="00000000">
          <w:rPr>
            <w:rFonts w:ascii="Arial" w:cs="Arial" w:eastAsia="Arial" w:hAnsi="Arial"/>
            <w:color w:val="1155cc"/>
            <w:sz w:val="22"/>
            <w:szCs w:val="22"/>
            <w:u w:val="single"/>
            <w:rtl w:val="0"/>
          </w:rPr>
          <w:t xml:space="preserve">http://www.ic.gc.ca/eic/site/icgc.nsf/eng/h_07063.html</w:t>
        </w:r>
      </w:hyperlink>
      <w:r w:rsidDel="00000000" w:rsidR="00000000" w:rsidRPr="00000000">
        <w:rPr>
          <w:rtl w:val="0"/>
        </w:rPr>
      </w:r>
    </w:p>
    <w:p w:rsidR="00000000" w:rsidDel="00000000" w:rsidP="00000000" w:rsidRDefault="00000000" w:rsidRPr="00000000">
      <w:pPr>
        <w:pBdr/>
        <w:contextualSpacing w:val="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Canada’s Natural Resources  </w:t>
      </w:r>
      <w:hyperlink r:id="rId6">
        <w:r w:rsidDel="00000000" w:rsidR="00000000" w:rsidRPr="00000000">
          <w:rPr>
            <w:rFonts w:ascii="Arial" w:cs="Arial" w:eastAsia="Arial" w:hAnsi="Arial"/>
            <w:color w:val="1155cc"/>
            <w:sz w:val="22"/>
            <w:szCs w:val="22"/>
            <w:u w:val="single"/>
            <w:rtl w:val="0"/>
          </w:rPr>
          <w:t xml:space="preserve">http://www.nrcan.gc.ca/mining-materials/statistics/8848</w:t>
        </w:r>
      </w:hyperlink>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0"/>
        <w:pBdr/>
        <w:contextualSpacing w:val="0"/>
        <w:jc w:val="left"/>
        <w:rPr>
          <w:rFonts w:ascii="Arial" w:cs="Arial" w:eastAsia="Arial" w:hAnsi="Arial"/>
          <w:sz w:val="22"/>
          <w:szCs w:val="22"/>
          <w:vertAlign w:val="baseline"/>
        </w:rPr>
      </w:pPr>
      <w:r w:rsidDel="00000000" w:rsidR="00000000" w:rsidRPr="00000000">
        <w:rPr>
          <w:rFonts w:ascii="Arial" w:cs="Arial" w:eastAsia="Arial" w:hAnsi="Arial"/>
          <w:b w:val="1"/>
          <w:sz w:val="28"/>
          <w:szCs w:val="28"/>
          <w:rtl w:val="0"/>
        </w:rPr>
        <w:t xml:space="preserve">Interpret and Analyse</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vertAlign w:val="baseline"/>
          <w:rtl w:val="0"/>
        </w:rPr>
        <w:t xml:space="preserve">measure, compare, graph, </w:t>
      </w:r>
      <w:r w:rsidDel="00000000" w:rsidR="00000000" w:rsidRPr="00000000">
        <w:rPr>
          <w:rFonts w:ascii="Arial" w:cs="Arial" w:eastAsia="Arial" w:hAnsi="Arial"/>
          <w:sz w:val="22"/>
          <w:szCs w:val="22"/>
          <w:rtl w:val="0"/>
        </w:rPr>
        <w:t xml:space="preserve">etc…. students use a variety of graphic organizers to narrow down the information they find interesting and useful</w:t>
      </w:r>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rPr>
      </w:pPr>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color w:val="ff0000"/>
        </w:rPr>
      </w:pPr>
      <w:r w:rsidDel="00000000" w:rsidR="00000000" w:rsidRPr="00000000">
        <w:rPr>
          <w:rFonts w:ascii="Arial" w:cs="Arial" w:eastAsia="Arial" w:hAnsi="Arial"/>
          <w:color w:val="ff0000"/>
          <w:rtl w:val="0"/>
        </w:rPr>
        <w:t xml:space="preserve">10 Key Facts about Canada’s natural resources</w:t>
      </w:r>
    </w:p>
    <w:p w:rsidR="00000000" w:rsidDel="00000000" w:rsidP="00000000" w:rsidRDefault="00000000" w:rsidRPr="00000000">
      <w:pPr>
        <w:pBdr/>
        <w:ind w:left="720" w:hanging="720"/>
        <w:contextualSpacing w:val="0"/>
        <w:rPr>
          <w:rFonts w:ascii="Arial" w:cs="Arial" w:eastAsia="Arial" w:hAnsi="Arial"/>
          <w:color w:val="ff0000"/>
        </w:rPr>
      </w:pP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rPr>
      </w:pPr>
      <w:hyperlink r:id="rId7">
        <w:r w:rsidDel="00000000" w:rsidR="00000000" w:rsidRPr="00000000">
          <w:rPr>
            <w:rFonts w:ascii="Arial" w:cs="Arial" w:eastAsia="Arial" w:hAnsi="Arial"/>
            <w:color w:val="1155cc"/>
            <w:u w:val="single"/>
            <w:rtl w:val="0"/>
          </w:rPr>
          <w:t xml:space="preserve">https://www.nrcan.gc.ca/sites/www.nrcan.gc.ca/files/files/pdf/10_key_facts_nrcan_2016_e.pdf</w:t>
        </w:r>
      </w:hyperlink>
      <w:r w:rsidDel="00000000" w:rsidR="00000000" w:rsidRPr="00000000">
        <w:rPr>
          <w:rtl w:val="0"/>
        </w:rPr>
      </w:r>
    </w:p>
    <w:p w:rsidR="00000000" w:rsidDel="00000000" w:rsidP="00000000" w:rsidRDefault="00000000" w:rsidRPr="00000000">
      <w:pPr>
        <w:pBdr/>
        <w:ind w:left="720" w:hanging="720"/>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0"/>
        <w:pBdr/>
        <w:contextualSpacing w:val="0"/>
        <w:jc w:val="left"/>
        <w:rPr>
          <w:rFonts w:ascii="Arial" w:cs="Arial" w:eastAsia="Arial" w:hAnsi="Arial"/>
          <w:sz w:val="28"/>
          <w:szCs w:val="28"/>
        </w:rPr>
      </w:pPr>
      <w:r w:rsidDel="00000000" w:rsidR="00000000" w:rsidRPr="00000000">
        <w:rPr>
          <w:rFonts w:ascii="Arial" w:cs="Arial" w:eastAsia="Arial" w:hAnsi="Arial"/>
          <w:b w:val="1"/>
          <w:sz w:val="28"/>
          <w:szCs w:val="28"/>
          <w:rtl w:val="0"/>
        </w:rPr>
        <w:t xml:space="preserve">Evaluate and Draw Conclusions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2"/>
          <w:szCs w:val="22"/>
          <w:rtl w:val="0"/>
        </w:rPr>
        <w:t xml:space="preserve">this is where students make critical judgements about the topic (framing question)</w:t>
      </w:r>
      <w:r w:rsidDel="00000000" w:rsidR="00000000" w:rsidRPr="00000000">
        <w:rPr>
          <w:rFonts w:ascii="Arial" w:cs="Arial" w:eastAsia="Arial" w:hAnsi="Arial"/>
          <w:sz w:val="28"/>
          <w:szCs w:val="28"/>
          <w:rtl w:val="0"/>
        </w:rPr>
        <w:t xml:space="preserve"> </w:t>
      </w:r>
    </w:p>
    <w:p w:rsidR="00000000" w:rsidDel="00000000" w:rsidP="00000000" w:rsidRDefault="00000000" w:rsidRPr="00000000">
      <w:pPr>
        <w:widowControl w:val="0"/>
        <w:pBdr/>
        <w:contextualSpacing w:val="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pPr>
        <w:widowControl w:val="0"/>
        <w:pBdr/>
        <w:contextualSpacing w:val="0"/>
        <w:jc w:val="left"/>
        <w:rPr>
          <w:rFonts w:ascii="Arial" w:cs="Arial" w:eastAsia="Arial" w:hAnsi="Arial"/>
          <w:color w:val="ff0000"/>
          <w:sz w:val="28"/>
          <w:szCs w:val="28"/>
        </w:rPr>
      </w:pPr>
      <w:r w:rsidDel="00000000" w:rsidR="00000000" w:rsidRPr="00000000">
        <w:rPr>
          <w:rFonts w:ascii="Arial" w:cs="Arial" w:eastAsia="Arial" w:hAnsi="Arial"/>
          <w:color w:val="ff0000"/>
          <w:highlight w:val="white"/>
          <w:rtl w:val="0"/>
        </w:rPr>
        <w:t xml:space="preserve">Canada has an abundance of natural resources, including minerals, rare earth elements, wildlife, coal and hydropower. Minerals and elements mined in the country are iron ore, silver, copper, nickel and gold. Other natural resources include fish, molybdenum, diamonds and potash.</w:t>
      </w:r>
      <w:r w:rsidDel="00000000" w:rsidR="00000000" w:rsidRPr="00000000">
        <w:rPr>
          <w:rtl w:val="0"/>
        </w:rPr>
      </w:r>
    </w:p>
    <w:p w:rsidR="00000000" w:rsidDel="00000000" w:rsidP="00000000" w:rsidRDefault="00000000" w:rsidRPr="00000000">
      <w:pPr>
        <w:widowControl w:val="0"/>
        <w:pBdr/>
        <w:contextualSpacing w:val="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pPr>
        <w:widowControl w:val="0"/>
        <w:pBdr/>
        <w:contextualSpacing w:val="0"/>
        <w:jc w:val="left"/>
        <w:rPr>
          <w:rFonts w:ascii="Arial" w:cs="Arial" w:eastAsia="Arial" w:hAnsi="Arial"/>
          <w:sz w:val="22"/>
          <w:szCs w:val="22"/>
        </w:rPr>
      </w:pPr>
      <w:r w:rsidDel="00000000" w:rsidR="00000000" w:rsidRPr="00000000">
        <w:rPr>
          <w:rFonts w:ascii="Arial" w:cs="Arial" w:eastAsia="Arial" w:hAnsi="Arial"/>
          <w:b w:val="1"/>
          <w:sz w:val="28"/>
          <w:szCs w:val="28"/>
          <w:rtl w:val="0"/>
        </w:rPr>
        <w:t xml:space="preserve">Communicate </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sz w:val="22"/>
          <w:szCs w:val="22"/>
          <w:rtl w:val="0"/>
        </w:rPr>
        <w:t xml:space="preserve"> How will the students present their findings?</w:t>
      </w:r>
    </w:p>
    <w:p w:rsidR="00000000" w:rsidDel="00000000" w:rsidP="00000000" w:rsidRDefault="00000000" w:rsidRPr="00000000">
      <w:pPr>
        <w:widowControl w:val="0"/>
        <w:pBdr/>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widowControl w:val="0"/>
        <w:pBdr/>
        <w:contextualSpacing w:val="0"/>
        <w:jc w:val="left"/>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Canada’s Natural Resources Summary Presentation</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color w:val="1155cc"/>
            <w:sz w:val="22"/>
            <w:szCs w:val="22"/>
            <w:u w:val="single"/>
            <w:rtl w:val="0"/>
          </w:rPr>
          <w:t xml:space="preserve">https://prezi.com/3kaxwpav2x16/canadas-natural-resources/</w:t>
        </w:r>
      </w:hyperlink>
      <w:r w:rsidDel="00000000" w:rsidR="00000000" w:rsidRPr="00000000">
        <w:rPr>
          <w:rtl w:val="0"/>
        </w:rPr>
      </w:r>
    </w:p>
    <w:p w:rsidR="00000000" w:rsidDel="00000000" w:rsidP="00000000" w:rsidRDefault="00000000" w:rsidRPr="00000000">
      <w:pPr>
        <w:widowControl w:val="0"/>
        <w:pBdr/>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pPr>
        <w:pBdr/>
        <w:tabs>
          <w:tab w:val="center" w:pos="2880"/>
          <w:tab w:val="center" w:pos="3950"/>
          <w:tab w:val="center" w:pos="5041"/>
          <w:tab w:val="center" w:pos="5761"/>
          <w:tab w:val="center" w:pos="6481"/>
          <w:tab w:val="center" w:pos="7879"/>
          <w:tab w:val="center" w:pos="9361"/>
          <w:tab w:val="center" w:pos="10081"/>
          <w:tab w:val="center" w:pos="10801"/>
          <w:tab w:val="center" w:pos="11806"/>
        </w:tabs>
        <w:spacing w:line="259" w:lineRule="auto"/>
        <w:contextualSpacing w:val="0"/>
        <w:rPr>
          <w:rFonts w:ascii="Calibri" w:cs="Calibri" w:eastAsia="Calibri" w:hAnsi="Calibri"/>
          <w:sz w:val="22"/>
          <w:szCs w:val="22"/>
        </w:rPr>
      </w:pPr>
      <w:r w:rsidDel="00000000" w:rsidR="00000000" w:rsidRPr="00000000">
        <w:rPr>
          <w:rFonts w:ascii="Calibri" w:cs="Calibri" w:eastAsia="Calibri" w:hAnsi="Calibri"/>
          <w:b w:val="1"/>
          <w:sz w:val="26"/>
          <w:szCs w:val="26"/>
          <w:rtl w:val="0"/>
        </w:rPr>
        <w:t xml:space="preserve">Student Planning Sheet  </w:t>
        <w:tab/>
        <w:t xml:space="preserve"> </w:t>
        <w:tab/>
      </w: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pPr>
        <w:pBdr/>
        <w:spacing w:line="259" w:lineRule="auto"/>
        <w:contextualSpacing w:val="0"/>
        <w:rPr>
          <w:rFonts w:ascii="Calibri" w:cs="Calibri" w:eastAsia="Calibri" w:hAnsi="Calibri"/>
          <w:sz w:val="22"/>
          <w:szCs w:val="22"/>
        </w:rPr>
      </w:pPr>
      <w:r w:rsidDel="00000000" w:rsidR="00000000" w:rsidRPr="00000000">
        <w:rPr>
          <w:rFonts w:ascii="Calibri" w:cs="Calibri" w:eastAsia="Calibri" w:hAnsi="Calibri"/>
          <w:sz w:val="10"/>
          <w:szCs w:val="10"/>
          <w:rtl w:val="0"/>
        </w:rPr>
        <w:t xml:space="preserve"> </w:t>
      </w:r>
      <w:r w:rsidDel="00000000" w:rsidR="00000000" w:rsidRPr="00000000">
        <w:rPr>
          <w:rtl w:val="0"/>
        </w:rPr>
      </w:r>
    </w:p>
    <w:tbl>
      <w:tblPr>
        <w:tblStyle w:val="Table2"/>
        <w:bidiVisual w:val="0"/>
        <w:tblW w:w="10335.0" w:type="dxa"/>
        <w:jc w:val="left"/>
        <w:tblInd w:w="-216.0" w:type="dxa"/>
        <w:tblLayout w:type="fixed"/>
        <w:tblLook w:val="0400"/>
      </w:tblPr>
      <w:tblGrid>
        <w:gridCol w:w="6660"/>
        <w:gridCol w:w="3675"/>
        <w:tblGridChange w:id="0">
          <w:tblGrid>
            <w:gridCol w:w="6660"/>
            <w:gridCol w:w="3675"/>
          </w:tblGrid>
        </w:tblGridChange>
      </w:tblGrid>
      <w:tr>
        <w:trPr>
          <w:trHeight w:val="18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39" w:lineRule="auto"/>
              <w:contextualSpacing w:val="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Hunch/problem/trigger (What is an outcome in my classroom that I want to work on?)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Evidence (How do I know?  Data may be quantitative or qualitative) </w:t>
            </w:r>
          </w:p>
        </w:tc>
      </w:tr>
      <w:tr>
        <w:trPr>
          <w:trHeight w:val="1580" w:hRule="atLeast"/>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do I already know that could be useful?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tl w:val="0"/>
              </w:rPr>
            </w:r>
          </w:p>
        </w:tc>
      </w:tr>
      <w:tr>
        <w:trPr>
          <w:trHeight w:val="16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new knowledge and/or capability do I need?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can I go or who can I ask to help? </w:t>
            </w:r>
          </w:p>
        </w:tc>
      </w:tr>
      <w:tr>
        <w:trPr>
          <w:trHeight w:val="1620" w:hRule="atLeast"/>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are some possible strategies I could use?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tl w:val="0"/>
              </w:rPr>
            </w:r>
          </w:p>
        </w:tc>
      </w:tr>
      <w:tr>
        <w:trPr>
          <w:trHeight w:val="1340" w:hRule="atLeast"/>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will I know it’s made a difference? How will I measure any change?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pPr>
        <w:pBdr/>
        <w:spacing w:line="259" w:lineRule="auto"/>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ind w:left="720" w:hanging="720"/>
        <w:contextualSpacing w:val="0"/>
        <w:rPr>
          <w:rFonts w:ascii="Calibri" w:cs="Calibri" w:eastAsia="Calibri" w:hAnsi="Calibri"/>
        </w:rPr>
      </w:pPr>
      <w:r w:rsidDel="00000000" w:rsidR="00000000" w:rsidRPr="00000000">
        <w:rPr>
          <w:rtl w:val="0"/>
        </w:rPr>
      </w:r>
    </w:p>
    <w:sectPr>
      <w:pgSz w:h="15840" w:w="12240"/>
      <w:pgMar w:bottom="1008" w:top="1008"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pBdr/>
      <w:spacing w:after="0" w:line="240" w:lineRule="auto"/>
    </w:pPr>
    <w:rPr/>
    <w:tblPr>
      <w:tblStyleRowBandSize w:val="1"/>
      <w:tblStyleColBandSize w:val="1"/>
      <w:tblCellMar>
        <w:top w:w="46.0" w:type="dxa"/>
        <w:left w:w="108.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ic.gc.ca/eic/site/icgc.nsf/eng/h_07063.html" TargetMode="External"/><Relationship Id="rId6" Type="http://schemas.openxmlformats.org/officeDocument/2006/relationships/hyperlink" Target="http://www.nrcan.gc.ca/mining-materials/statistics/8848" TargetMode="External"/><Relationship Id="rId7" Type="http://schemas.openxmlformats.org/officeDocument/2006/relationships/hyperlink" Target="https://www.nrcan.gc.ca/sites/www.nrcan.gc.ca/files/files/pdf/10_key_facts_nrcan_2016_e.pdf" TargetMode="External"/><Relationship Id="rId8" Type="http://schemas.openxmlformats.org/officeDocument/2006/relationships/hyperlink" Target="https://prezi.com/3kaxwpav2x16/canadas-natural-resources/" TargetMode="External"/></Relationships>
</file>