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Winter-Fest Spark Video Single Point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color w:val="000000"/>
          <w:sz w:val="24"/>
          <w:szCs w:val="24"/>
          <w:rtl w:val="0"/>
        </w:rPr>
        <w:t xml:space="preserve">Student Name: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(areas that need work)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Success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rtl w:val="0"/>
              </w:rPr>
              <w:t xml:space="preserve">Evidence of Meeting or Exceeding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Knowledge &amp; 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(Your Information)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understand how my activity links to math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demonstrated an understanding of the math  concepts I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(The process involved)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was able to create, plan and problem-solve to develop an activity.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reflected on the issues that might arise and thought about if my solutions would make sense.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(How you Say It)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My video clearly explains the steps I used throughout the project.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 explain the math processes that I had to use in my activity.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(How you Connect It)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 created an activity that was clearly connected to math,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used appropriate math tools throughout our investigation.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