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contextualSpacing w:val="0"/>
        <w:jc w:val="center"/>
        <w:rPr>
          <w:rFonts w:ascii="Quicksand" w:cs="Quicksand" w:eastAsia="Quicksand" w:hAnsi="Quicksand"/>
          <w:b w:val="1"/>
          <w:sz w:val="28"/>
          <w:szCs w:val="28"/>
        </w:rPr>
      </w:pPr>
      <w:bookmarkStart w:colFirst="0" w:colLast="0" w:name="_jah346snk311" w:id="0"/>
      <w:bookmarkEnd w:id="0"/>
      <w:r w:rsidDel="00000000" w:rsidR="00000000" w:rsidRPr="00000000">
        <w:rPr>
          <w:rFonts w:ascii="Quicksand" w:cs="Quicksand" w:eastAsia="Quicksand" w:hAnsi="Quicksand"/>
          <w:b w:val="1"/>
          <w:sz w:val="28"/>
          <w:szCs w:val="28"/>
          <w:rtl w:val="0"/>
        </w:rPr>
        <w:t xml:space="preserve">EXTENDED FRENCH RESOURCE TEMPLATE</w:t>
        <w:br w:type="textWrapping"/>
        <w:t xml:space="preserve">GLOBAL COMPETENCIES &amp; ATL</w:t>
      </w:r>
    </w:p>
    <w:tbl>
      <w:tblPr>
        <w:tblStyle w:val="Table1"/>
        <w:tblW w:w="102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3375"/>
        <w:gridCol w:w="5220"/>
        <w:tblGridChange w:id="0">
          <w:tblGrid>
            <w:gridCol w:w="1635"/>
            <w:gridCol w:w="3375"/>
            <w:gridCol w:w="5220"/>
          </w:tblGrid>
        </w:tblGridChange>
      </w:tblGrid>
      <w:tr>
        <w:trPr>
          <w:trHeight w:val="900" w:hRule="atLeast"/>
        </w:trPr>
        <w:tc>
          <w:tcPr>
            <w:tcBorders>
              <w:bottom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1">
            <w:pPr>
              <w:widowControl w:val="0"/>
              <w:spacing w:line="240" w:lineRule="auto"/>
              <w:contextualSpacing w:val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contextualSpacing w:val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IB: Approaches to Learning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contextualSpacing w:val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TDSB: Global Competencies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contextualSpacing w:val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Resources</w:t>
            </w:r>
          </w:p>
        </w:tc>
      </w:tr>
      <w:tr>
        <w:trPr>
          <w:trHeight w:val="420" w:hRule="atLeast"/>
        </w:trPr>
        <w:tc>
          <w:tcPr>
            <w:vMerge w:val="restart"/>
            <w:tcBorders>
              <w:top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French</w:t>
              <w:br w:type="textWrapping"/>
              <w:t xml:space="preserve">(Extended)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IB: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Thinking</w:t>
              <w:br w:type="textWrapping"/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TDSB: </w:t>
              <w:br w:type="textWrapping"/>
              <w:t xml:space="preserve">Problem solving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IB: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Self-management</w:t>
              <w:br w:type="textWrapping"/>
              <w:br w:type="textWrapping"/>
              <w:t xml:space="preserve">TDSB: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Global Citizenship &amp; Character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Global Voices - </w:t>
            </w: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Les Franco-Ontariens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contextualSpacing w:val="0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contextualSpacing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Indigenous Lens (personal identity)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contextualSpacing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Manifester du respect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 (password: loi)</w:t>
            </w:r>
          </w:p>
          <w:p w:rsidR="00000000" w:rsidDel="00000000" w:rsidP="00000000" w:rsidRDefault="00000000" w:rsidRPr="00000000" w14:paraId="00000019">
            <w:pPr>
              <w:contextualSpacing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contextualSpacing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LGBTQ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 - </w:t>
            </w:r>
            <w:hyperlink r:id="rId6">
              <w:r w:rsidDel="00000000" w:rsidR="00000000" w:rsidRPr="00000000">
                <w:rPr>
                  <w:rFonts w:ascii="Quicksand" w:cs="Quicksand" w:eastAsia="Quicksand" w:hAnsi="Quicksand"/>
                  <w:color w:val="1155cc"/>
                  <w:u w:val="single"/>
                  <w:rtl w:val="0"/>
                </w:rPr>
                <w:t xml:space="preserve">L'orientation sexuelle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contextualSpacing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contextualSpacing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Mental Health/Wellness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contextualSpacing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Manifestation du chandail rose</w:t>
              <w:br w:type="textWrapping"/>
              <w:br w:type="textWrapping"/>
              <w:t xml:space="preserve">Le Grand Tour de Clara (password: canal)</w:t>
            </w:r>
          </w:p>
          <w:p w:rsidR="00000000" w:rsidDel="00000000" w:rsidP="00000000" w:rsidRDefault="00000000" w:rsidRPr="00000000" w14:paraId="0000001E">
            <w:pPr>
              <w:contextualSpacing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contextualSpacing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Quebec bill 62 - </w:t>
            </w:r>
            <w:hyperlink r:id="rId7">
              <w:r w:rsidDel="00000000" w:rsidR="00000000" w:rsidRPr="00000000">
                <w:rPr>
                  <w:rFonts w:ascii="Quicksand" w:cs="Quicksand" w:eastAsia="Quicksand" w:hAnsi="Quicksand"/>
                  <w:color w:val="1155cc"/>
                  <w:u w:val="single"/>
                  <w:rtl w:val="0"/>
                </w:rPr>
                <w:t xml:space="preserve">article TKN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contextualSpacing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IB: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Thinking</w:t>
              <w:br w:type="textWrapping"/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TDSB: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Critical thinking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contextualSpacing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Indigenous Lens (who are the First Nations peoples)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contextualSpacing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Manifester du respect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 (password: loi)</w:t>
              <w:br w:type="textWrapping"/>
              <w:br w:type="textWrapping"/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Les Aventuriers du Web « À SGang Gwaay » (password: gala)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contextualSpacing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contextualSpacing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Women’s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contextualSpacing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Qui choisirais-tu?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 (password: choix)</w:t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IB: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Social</w:t>
              <w:br w:type="textWrapping"/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TDSB: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Collaboration &amp; Leadership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contextualSpacing w:val="0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Ability (inclusion)</w:t>
            </w:r>
          </w:p>
          <w:p w:rsidR="00000000" w:rsidDel="00000000" w:rsidP="00000000" w:rsidRDefault="00000000" w:rsidRPr="00000000" w14:paraId="0000003D">
            <w:pPr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La course Terry Fox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contextualSpacing w:val="0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Young Change Makers</w:t>
            </w:r>
          </w:p>
          <w:p w:rsidR="00000000" w:rsidDel="00000000" w:rsidP="00000000" w:rsidRDefault="00000000" w:rsidRPr="00000000" w14:paraId="00000040">
            <w:pPr>
              <w:contextualSpacing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Malala – Maintenant citoyenne canadienne  (Password: jeux)</w:t>
              <w:br w:type="textWrapping"/>
            </w:r>
          </w:p>
          <w:p w:rsidR="00000000" w:rsidDel="00000000" w:rsidP="00000000" w:rsidRDefault="00000000" w:rsidRPr="00000000" w14:paraId="00000041">
            <w:pPr>
              <w:contextualSpacing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« Je suis Malala » (password: zoo)</w:t>
            </w:r>
          </w:p>
          <w:p w:rsidR="00000000" w:rsidDel="00000000" w:rsidP="00000000" w:rsidRDefault="00000000" w:rsidRPr="00000000" w14:paraId="00000042">
            <w:pPr>
              <w:contextualSpacing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contextualSpacing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Black History/African Heritage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contextualSpacing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Qui est Viola Desmond? (password: site)</w:t>
            </w:r>
          </w:p>
          <w:p w:rsidR="00000000" w:rsidDel="00000000" w:rsidP="00000000" w:rsidRDefault="00000000" w:rsidRPr="00000000" w14:paraId="00000045">
            <w:pPr>
              <w:contextualSpacing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contextualSpacing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Global Voices (poverty)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contextualSpacing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Les banques alimentaires au Canada (password: camp)</w:t>
            </w:r>
          </w:p>
          <w:p w:rsidR="00000000" w:rsidDel="00000000" w:rsidP="00000000" w:rsidRDefault="00000000" w:rsidRPr="00000000" w14:paraId="00000048">
            <w:pPr>
              <w:contextualSpacing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contextualSpacing w:val="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Indigenous Lens (reconciliation)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Manifester du respect (password: loi)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IB: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Research</w:t>
              <w:br w:type="textWrapping"/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TDSB: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Creativity, Inquiry &amp; Entrepreneurship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contextualSpacing w:val="0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Asian Heritage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David Suzuki : 80 ans bien compt</w:t>
            </w:r>
            <w:hyperlink r:id="rId8">
              <w:r w:rsidDel="00000000" w:rsidR="00000000" w:rsidRPr="00000000">
                <w:rPr>
                  <w:rFonts w:ascii="Quicksand" w:cs="Quicksand" w:eastAsia="Quicksand" w:hAnsi="Quicksand"/>
                  <w:color w:val="1155cc"/>
                  <w:sz w:val="20"/>
                  <w:szCs w:val="20"/>
                  <w:u w:val="single"/>
                  <w:rtl w:val="0"/>
                </w:rPr>
                <w:t xml:space="preserve">és et toujours présent…</w:t>
              </w:r>
            </w:hyperlink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 (password: choix)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Global Voices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MSF : une Canadienne aux commandes (password: eau)</w:t>
              <w:br w:type="textWrapping"/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Les organismes d’aide (password: eau)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IB: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Communication</w:t>
              <w:br w:type="textWrapping"/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TDSB: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Communication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contextualSpacing w:val="0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Global Voices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Le jour du Souvenir au Canada (password: loi)</w:t>
              <w:br w:type="textWrapping"/>
              <w:br w:type="textWrapping"/>
              <w:t xml:space="preserve">Le coquelicot symbole du souvenir (password: panda)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Droits acadiens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0"/>
                <w:szCs w:val="20"/>
                <w:rtl w:val="0"/>
              </w:rPr>
              <w:t xml:space="preserve">Black History/African Heritage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Mois de l’histoire des Noirs (password: sucre)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="240" w:lineRule="auto"/>
              <w:ind w:left="0" w:firstLine="0"/>
              <w:contextualSpacing w:val="0"/>
              <w:jc w:val="center"/>
              <w:rPr>
                <w:rFonts w:ascii="Quicksand" w:cs="Quicksand" w:eastAsia="Quicksand" w:hAnsi="Quicksa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contextualSpacing w:val="0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contextualSpacing w:val="0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contextualSpacing w:val="0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contextualSpacing w:val="0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sectPr>
      <w:pgSz w:h="15840" w:w="12240"/>
      <w:pgMar w:bottom="283.46456692913387" w:top="283.46456692913387" w:left="283.46456692913387" w:right="283.4645669291338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icksa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urio.ca/fr/video/lorientation-sexuelle-15125/" TargetMode="External"/><Relationship Id="rId7" Type="http://schemas.openxmlformats.org/officeDocument/2006/relationships/hyperlink" Target="http://teachingkidsnews.com/2017/10/22/quebecs-bill-62-bans-face-coverings-public-workers/" TargetMode="External"/><Relationship Id="rId8" Type="http://schemas.openxmlformats.org/officeDocument/2006/relationships/hyperlink" Target="https://drive.google.com/file/d/0B5R4JZAnBHajbG5IdkwzcFdlbjg/view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